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7F" w:rsidRDefault="00A71B60" w:rsidP="00675745">
      <w:pPr>
        <w:pStyle w:val="PlainText"/>
        <w:spacing w:before="240" w:after="60" w:line="276" w:lineRule="auto"/>
        <w:jc w:val="center"/>
        <w:rPr>
          <w:rFonts w:ascii="Verdana" w:hAnsi="Verdana" w:cs="Arial"/>
          <w:b/>
          <w:sz w:val="20"/>
          <w:szCs w:val="24"/>
          <w:lang w:val="fr-CA"/>
        </w:rPr>
      </w:pPr>
      <w:r>
        <w:rPr>
          <w:rFonts w:ascii="Verdana" w:hAnsi="Verdana" w:cs="Arial"/>
          <w:b/>
          <w:sz w:val="20"/>
          <w:szCs w:val="24"/>
          <w:lang w:val="fr-CA"/>
        </w:rPr>
        <w:t>Programme de maintien/</w:t>
      </w:r>
      <w:r w:rsidR="00DF7B7F" w:rsidRPr="00DF7B7F">
        <w:rPr>
          <w:rFonts w:ascii="Verdana" w:hAnsi="Verdana" w:cs="Arial"/>
          <w:b/>
          <w:sz w:val="20"/>
          <w:szCs w:val="24"/>
          <w:lang w:val="fr-CA"/>
        </w:rPr>
        <w:t>retour au travail</w:t>
      </w:r>
    </w:p>
    <w:p w:rsidR="00DF7B7F" w:rsidRPr="00D712FC" w:rsidRDefault="00DF7B7F" w:rsidP="00DF7B7F">
      <w:pPr>
        <w:spacing w:after="360" w:line="276" w:lineRule="auto"/>
        <w:jc w:val="center"/>
        <w:rPr>
          <w:b/>
          <w:noProof/>
          <w:u w:val="single"/>
          <w:lang w:val="fr-CA"/>
        </w:rPr>
      </w:pPr>
      <w:bookmarkStart w:id="0" w:name="_GoBack"/>
      <w:bookmarkEnd w:id="0"/>
      <w:r w:rsidRPr="00D712FC">
        <w:rPr>
          <w:b/>
          <w:noProof/>
          <w:u w:val="single"/>
          <w:lang w:val="fr-CA"/>
        </w:rPr>
        <w:t>Nom de l’entreprise</w:t>
      </w:r>
    </w:p>
    <w:p w:rsidR="00F26387" w:rsidRPr="00D80B1F" w:rsidRDefault="00903D02" w:rsidP="00675745">
      <w:pPr>
        <w:spacing w:before="0" w:after="240" w:line="276" w:lineRule="auto"/>
        <w:jc w:val="left"/>
        <w:rPr>
          <w:lang w:val="fr-CA"/>
        </w:rPr>
      </w:pPr>
      <w:r w:rsidRPr="00D80B1F">
        <w:rPr>
          <w:lang w:val="fr-CA"/>
        </w:rPr>
        <w:t xml:space="preserve">Nous avons à cœur le bien-être et le rétablissement de nos employés qui ne sont pas en mesure d’effectuer leurs tâches habituelles en raison d’une blessure ou d’une maladie découlant </w:t>
      </w:r>
      <w:r w:rsidR="00D712FC" w:rsidRPr="00D80B1F">
        <w:rPr>
          <w:lang w:val="fr-CA"/>
        </w:rPr>
        <w:t xml:space="preserve">ou non </w:t>
      </w:r>
      <w:r w:rsidRPr="00D80B1F">
        <w:rPr>
          <w:lang w:val="fr-CA"/>
        </w:rPr>
        <w:t>d</w:t>
      </w:r>
      <w:r w:rsidR="00155708" w:rsidRPr="00D80B1F">
        <w:rPr>
          <w:lang w:val="fr-CA"/>
        </w:rPr>
        <w:t>’</w:t>
      </w:r>
      <w:r w:rsidRPr="00D80B1F">
        <w:rPr>
          <w:lang w:val="fr-CA"/>
        </w:rPr>
        <w:t>u</w:t>
      </w:r>
      <w:r w:rsidR="00155708" w:rsidRPr="00D80B1F">
        <w:rPr>
          <w:lang w:val="fr-CA"/>
        </w:rPr>
        <w:t>n accident du</w:t>
      </w:r>
      <w:r w:rsidRPr="00D80B1F">
        <w:rPr>
          <w:lang w:val="fr-CA"/>
        </w:rPr>
        <w:t xml:space="preserve"> travail. </w:t>
      </w:r>
    </w:p>
    <w:p w:rsidR="00903D02" w:rsidRPr="00D80B1F" w:rsidRDefault="007D539E" w:rsidP="00932ABA">
      <w:pPr>
        <w:spacing w:before="0" w:after="240" w:line="276" w:lineRule="auto"/>
        <w:jc w:val="left"/>
        <w:rPr>
          <w:lang w:val="fr-CA"/>
        </w:rPr>
      </w:pPr>
      <w:r w:rsidRPr="00D80B1F">
        <w:rPr>
          <w:lang w:val="fr-CA"/>
        </w:rPr>
        <w:t xml:space="preserve">Nous personnalisons notre programme de maintien/retour au travail en fonction des besoins de chaque employé selon les indications du médecin traitant ou d’un autre professionnel de la santé </w:t>
      </w:r>
      <w:r w:rsidR="00286203" w:rsidRPr="00D80B1F">
        <w:rPr>
          <w:lang w:val="fr-CA"/>
        </w:rPr>
        <w:t xml:space="preserve">comme </w:t>
      </w:r>
      <w:r w:rsidR="00932ABA" w:rsidRPr="00D80B1F">
        <w:rPr>
          <w:lang w:val="fr-CA"/>
        </w:rPr>
        <w:t xml:space="preserve">un </w:t>
      </w:r>
      <w:r w:rsidR="00286203" w:rsidRPr="00D80B1F">
        <w:rPr>
          <w:lang w:val="fr-CA"/>
        </w:rPr>
        <w:t xml:space="preserve">physiothérapeute. Avec ce programme, nous pouvons offrir des tâches modifiées ou un autre poste – de façon temporaire ou permanente – à un employé blessé qui n’est pas en mesure d’effectuer ses tâches régulières. </w:t>
      </w:r>
    </w:p>
    <w:p w:rsidR="002A247E" w:rsidRPr="00D80B1F" w:rsidRDefault="00286203" w:rsidP="00675745">
      <w:pPr>
        <w:spacing w:before="0" w:after="240" w:line="276" w:lineRule="auto"/>
        <w:jc w:val="left"/>
        <w:rPr>
          <w:lang w:val="fr-CA"/>
        </w:rPr>
      </w:pPr>
      <w:r w:rsidRPr="00D80B1F">
        <w:rPr>
          <w:lang w:val="fr-CA"/>
        </w:rPr>
        <w:t>Le travail</w:t>
      </w:r>
      <w:r w:rsidR="002A247E" w:rsidRPr="00D80B1F">
        <w:rPr>
          <w:lang w:val="fr-CA"/>
        </w:rPr>
        <w:t xml:space="preserve"> de substitution permet à l’employé d’accomplir des tâches productives et utiles dans le respect de ses limitations fonctionnelles</w:t>
      </w:r>
      <w:r w:rsidR="00B21048" w:rsidRPr="00D80B1F">
        <w:rPr>
          <w:lang w:val="fr-CA"/>
        </w:rPr>
        <w:t>.</w:t>
      </w:r>
      <w:r w:rsidR="002A247E" w:rsidRPr="00D80B1F">
        <w:rPr>
          <w:lang w:val="fr-CA"/>
        </w:rPr>
        <w:t xml:space="preserve"> </w:t>
      </w:r>
      <w:r w:rsidR="00B21048" w:rsidRPr="00D80B1F">
        <w:rPr>
          <w:lang w:val="fr-CA"/>
        </w:rPr>
        <w:t xml:space="preserve">Il ne </w:t>
      </w:r>
      <w:r w:rsidR="002A247E" w:rsidRPr="00D80B1F">
        <w:rPr>
          <w:lang w:val="fr-CA"/>
        </w:rPr>
        <w:t xml:space="preserve">présente pas de risque d’aggraver la blessure ou d’en causer aux autres employés. </w:t>
      </w:r>
    </w:p>
    <w:p w:rsidR="00B21048" w:rsidRPr="00D80B1F" w:rsidRDefault="00C823EC" w:rsidP="00932ABA">
      <w:pPr>
        <w:spacing w:before="0" w:after="240" w:line="276" w:lineRule="auto"/>
        <w:jc w:val="left"/>
        <w:rPr>
          <w:lang w:val="fr-CA"/>
        </w:rPr>
      </w:pPr>
      <w:r w:rsidRPr="00D80B1F">
        <w:rPr>
          <w:lang w:val="fr-CA"/>
        </w:rPr>
        <w:t>Nous avons fait tous les efforts possible</w:t>
      </w:r>
      <w:r w:rsidR="00D712FC" w:rsidRPr="00D80B1F">
        <w:rPr>
          <w:lang w:val="fr-CA"/>
        </w:rPr>
        <w:t>s</w:t>
      </w:r>
      <w:r w:rsidR="00EA5B00" w:rsidRPr="00D80B1F">
        <w:rPr>
          <w:lang w:val="fr-CA"/>
        </w:rPr>
        <w:t xml:space="preserve"> </w:t>
      </w:r>
      <w:r w:rsidR="00932ABA" w:rsidRPr="00D80B1F">
        <w:rPr>
          <w:lang w:val="fr-CA"/>
        </w:rPr>
        <w:t xml:space="preserve">pour </w:t>
      </w:r>
      <w:r w:rsidRPr="00D80B1F">
        <w:rPr>
          <w:lang w:val="fr-CA"/>
        </w:rPr>
        <w:t>que ce programme respecte les lois et normes du travail</w:t>
      </w:r>
      <w:r w:rsidR="00932ABA" w:rsidRPr="00D80B1F">
        <w:rPr>
          <w:lang w:val="fr-CA"/>
        </w:rPr>
        <w:t xml:space="preserve"> ainsi que</w:t>
      </w:r>
      <w:r w:rsidRPr="00D80B1F">
        <w:rPr>
          <w:lang w:val="fr-CA"/>
        </w:rPr>
        <w:t xml:space="preserve"> les règles en matière de santé et sécurité en vigueur dans </w:t>
      </w:r>
      <w:r w:rsidR="00EA5B00" w:rsidRPr="00D80B1F">
        <w:rPr>
          <w:lang w:val="fr-CA"/>
        </w:rPr>
        <w:t>la</w:t>
      </w:r>
      <w:r w:rsidRPr="00D80B1F">
        <w:rPr>
          <w:lang w:val="fr-CA"/>
        </w:rPr>
        <w:t xml:space="preserve"> province. </w:t>
      </w:r>
    </w:p>
    <w:p w:rsidR="00C823EC" w:rsidRPr="00D80B1F" w:rsidRDefault="00C823EC" w:rsidP="00675745">
      <w:pPr>
        <w:spacing w:before="0" w:after="240" w:line="276" w:lineRule="auto"/>
        <w:jc w:val="left"/>
        <w:rPr>
          <w:lang w:val="fr-CA"/>
        </w:rPr>
      </w:pPr>
      <w:r w:rsidRPr="00D80B1F">
        <w:rPr>
          <w:lang w:val="fr-CA"/>
        </w:rPr>
        <w:t>Tous les employés blessés ou présentant un handicap</w:t>
      </w:r>
      <w:r w:rsidR="00C9525C" w:rsidRPr="00D80B1F">
        <w:rPr>
          <w:lang w:val="fr-CA"/>
        </w:rPr>
        <w:t>, peu importe la cause,</w:t>
      </w:r>
      <w:r w:rsidRPr="00D80B1F">
        <w:rPr>
          <w:lang w:val="fr-CA"/>
        </w:rPr>
        <w:t xml:space="preserve"> sont</w:t>
      </w:r>
      <w:r w:rsidR="00C9525C" w:rsidRPr="00D80B1F">
        <w:rPr>
          <w:lang w:val="fr-CA"/>
        </w:rPr>
        <w:t xml:space="preserve"> admissibles à ce programme et nous les encouragerons à y participer. </w:t>
      </w:r>
    </w:p>
    <w:p w:rsidR="000953BC" w:rsidRPr="00D80B1F" w:rsidRDefault="00E2462A" w:rsidP="000953BC">
      <w:pPr>
        <w:spacing w:after="240" w:line="276" w:lineRule="auto"/>
        <w:jc w:val="left"/>
        <w:rPr>
          <w:lang w:val="fr-CA"/>
        </w:rPr>
      </w:pPr>
      <w:r w:rsidRPr="00D80B1F">
        <w:rPr>
          <w:rFonts w:cs="Tahoma"/>
          <w:color w:val="000000"/>
          <w:szCs w:val="20"/>
          <w:lang w:val="fr-CA"/>
        </w:rPr>
        <w:t>Nous nous engageons également à sensibiliser notre personnel à la prévention des accidents et des blessures dans notre entreprise. Tous les employés doivent signaler à leur superviseur, immédiatement ou à la fin de leur quart de travail, tout accident entra</w:t>
      </w:r>
      <w:r w:rsidR="00B453F8" w:rsidRPr="00D80B1F">
        <w:rPr>
          <w:rFonts w:cs="Tahoma"/>
          <w:color w:val="000000"/>
          <w:szCs w:val="20"/>
          <w:lang w:val="fr-CA"/>
        </w:rPr>
        <w:t>î</w:t>
      </w:r>
      <w:r w:rsidRPr="00D80B1F">
        <w:rPr>
          <w:rFonts w:cs="Tahoma"/>
          <w:color w:val="000000"/>
          <w:szCs w:val="20"/>
          <w:lang w:val="fr-CA"/>
        </w:rPr>
        <w:t>nant une maladie ou une blessure professionnelle. L</w:t>
      </w:r>
      <w:r w:rsidR="00B36ED5" w:rsidRPr="00D80B1F">
        <w:rPr>
          <w:rFonts w:cs="Tahoma"/>
          <w:color w:val="000000"/>
          <w:szCs w:val="20"/>
          <w:lang w:val="fr-CA"/>
        </w:rPr>
        <w:t>’</w:t>
      </w:r>
      <w:r w:rsidRPr="00D80B1F">
        <w:rPr>
          <w:rFonts w:cs="Tahoma"/>
          <w:color w:val="000000"/>
          <w:szCs w:val="20"/>
          <w:lang w:val="fr-CA"/>
        </w:rPr>
        <w:t xml:space="preserve">employé qui </w:t>
      </w:r>
      <w:r w:rsidR="004B1164" w:rsidRPr="00D80B1F">
        <w:rPr>
          <w:rFonts w:cs="Tahoma"/>
          <w:color w:val="000000"/>
          <w:szCs w:val="20"/>
          <w:lang w:val="fr-CA"/>
        </w:rPr>
        <w:t>n’est</w:t>
      </w:r>
      <w:r w:rsidRPr="00D80B1F">
        <w:rPr>
          <w:rFonts w:cs="Tahoma"/>
          <w:color w:val="000000"/>
          <w:szCs w:val="20"/>
          <w:lang w:val="fr-CA"/>
        </w:rPr>
        <w:t xml:space="preserve"> pas en mesure de </w:t>
      </w:r>
      <w:r w:rsidR="004B1164" w:rsidRPr="00D80B1F">
        <w:rPr>
          <w:rFonts w:cs="Tahoma"/>
          <w:color w:val="000000"/>
          <w:szCs w:val="20"/>
          <w:lang w:val="fr-CA"/>
        </w:rPr>
        <w:t xml:space="preserve">nous </w:t>
      </w:r>
      <w:r w:rsidRPr="00D80B1F">
        <w:rPr>
          <w:rFonts w:cs="Tahoma"/>
          <w:color w:val="000000"/>
          <w:szCs w:val="20"/>
          <w:lang w:val="fr-CA"/>
        </w:rPr>
        <w:t xml:space="preserve">signaler l’accident immédiatement </w:t>
      </w:r>
      <w:r w:rsidR="004B1164" w:rsidRPr="00D80B1F">
        <w:rPr>
          <w:rFonts w:cs="Tahoma"/>
          <w:color w:val="000000"/>
          <w:szCs w:val="20"/>
          <w:lang w:val="fr-CA"/>
        </w:rPr>
        <w:t>doit</w:t>
      </w:r>
      <w:r w:rsidRPr="00D80B1F">
        <w:rPr>
          <w:rFonts w:cs="Tahoma"/>
          <w:color w:val="000000"/>
          <w:szCs w:val="20"/>
          <w:lang w:val="fr-CA"/>
        </w:rPr>
        <w:t xml:space="preserve"> le faire</w:t>
      </w:r>
      <w:r w:rsidR="004B1164" w:rsidRPr="00D80B1F">
        <w:rPr>
          <w:rFonts w:cs="Tahoma"/>
          <w:color w:val="000000"/>
          <w:szCs w:val="20"/>
          <w:lang w:val="fr-CA"/>
        </w:rPr>
        <w:t xml:space="preserve"> dans les 24 heures qui suivent</w:t>
      </w:r>
      <w:r w:rsidRPr="00D80B1F">
        <w:rPr>
          <w:rFonts w:cs="Tahoma"/>
          <w:color w:val="000000"/>
          <w:szCs w:val="20"/>
          <w:lang w:val="fr-CA"/>
        </w:rPr>
        <w:t xml:space="preserve">. </w:t>
      </w:r>
    </w:p>
    <w:p w:rsidR="00FA707B" w:rsidRPr="00DF7B7F" w:rsidRDefault="00DF7B7F" w:rsidP="004B1164">
      <w:pPr>
        <w:spacing w:before="0" w:after="240" w:line="276" w:lineRule="auto"/>
        <w:jc w:val="left"/>
        <w:rPr>
          <w:lang w:val="fr-CA"/>
        </w:rPr>
      </w:pPr>
      <w:r w:rsidRPr="00D80B1F">
        <w:rPr>
          <w:lang w:val="fr-CA"/>
        </w:rPr>
        <w:t>Notre programme comprend également une trousse de soutien aux employés blessés destinée à faciliter la communication entre toutes</w:t>
      </w:r>
      <w:r>
        <w:rPr>
          <w:lang w:val="fr-CA"/>
        </w:rPr>
        <w:t xml:space="preserve"> les personnes concernées (employé, employeur, médecin traitant, autre professionnel de la santé tel qu</w:t>
      </w:r>
      <w:r w:rsidR="004B1164">
        <w:rPr>
          <w:lang w:val="fr-CA"/>
        </w:rPr>
        <w:t>’un</w:t>
      </w:r>
      <w:r>
        <w:rPr>
          <w:lang w:val="fr-CA"/>
        </w:rPr>
        <w:t xml:space="preserve"> physiothérapeute et la commission des accidents du travail.)</w:t>
      </w:r>
    </w:p>
    <w:p w:rsidR="00DF7B7F" w:rsidRPr="00DF7B7F" w:rsidRDefault="00DF7B7F" w:rsidP="00FB282F">
      <w:pPr>
        <w:spacing w:before="0" w:after="240" w:line="276" w:lineRule="auto"/>
        <w:jc w:val="left"/>
        <w:rPr>
          <w:lang w:val="fr-CA"/>
        </w:rPr>
      </w:pPr>
      <w:r w:rsidRPr="00DF7B7F">
        <w:rPr>
          <w:lang w:val="fr-CA"/>
        </w:rPr>
        <w:t>_________________________ (directeur</w:t>
      </w:r>
      <w:r w:rsidR="00B36ED5">
        <w:rPr>
          <w:lang w:val="fr-CA"/>
        </w:rPr>
        <w:t xml:space="preserve"> de l’employ</w:t>
      </w:r>
      <w:r w:rsidR="00D344B0">
        <w:rPr>
          <w:lang w:val="fr-CA"/>
        </w:rPr>
        <w:t>é</w:t>
      </w:r>
      <w:r w:rsidRPr="00DF7B7F">
        <w:rPr>
          <w:lang w:val="fr-CA"/>
        </w:rPr>
        <w:t>/superviseur</w:t>
      </w:r>
      <w:r w:rsidR="00B36ED5">
        <w:rPr>
          <w:lang w:val="fr-CA"/>
        </w:rPr>
        <w:t xml:space="preserve"> de l’</w:t>
      </w:r>
      <w:r w:rsidR="00D344B0">
        <w:rPr>
          <w:lang w:val="fr-CA"/>
        </w:rPr>
        <w:t>employé</w:t>
      </w:r>
      <w:r w:rsidRPr="00DF7B7F">
        <w:rPr>
          <w:lang w:val="fr-CA"/>
        </w:rPr>
        <w:t>/propriétaire</w:t>
      </w:r>
      <w:r w:rsidR="00B36ED5">
        <w:rPr>
          <w:lang w:val="fr-CA"/>
        </w:rPr>
        <w:t xml:space="preserve"> de l’entreprise</w:t>
      </w:r>
      <w:r w:rsidRPr="00DF7B7F">
        <w:rPr>
          <w:lang w:val="fr-CA"/>
        </w:rPr>
        <w:t xml:space="preserve">) </w:t>
      </w:r>
      <w:r>
        <w:rPr>
          <w:lang w:val="fr-CA"/>
        </w:rPr>
        <w:t xml:space="preserve">remettra </w:t>
      </w:r>
      <w:r w:rsidR="00FB282F">
        <w:rPr>
          <w:lang w:val="fr-CA"/>
        </w:rPr>
        <w:t xml:space="preserve">une </w:t>
      </w:r>
      <w:r>
        <w:rPr>
          <w:lang w:val="fr-CA"/>
        </w:rPr>
        <w:t xml:space="preserve">trousse de soutien aux employés blessés pour faciliter l’établissement du programme personnalisé de retour au travail.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6"/>
        <w:gridCol w:w="3370"/>
        <w:gridCol w:w="270"/>
        <w:gridCol w:w="3960"/>
      </w:tblGrid>
      <w:tr w:rsidR="00675745" w:rsidTr="002F54D6">
        <w:tc>
          <w:tcPr>
            <w:tcW w:w="1508" w:type="dxa"/>
          </w:tcPr>
          <w:p w:rsidR="00675745" w:rsidRPr="009678BF" w:rsidRDefault="00675745" w:rsidP="00A53F77">
            <w:pPr>
              <w:spacing w:before="0" w:line="276" w:lineRule="auto"/>
              <w:jc w:val="left"/>
              <w:rPr>
                <w:b/>
              </w:rPr>
            </w:pPr>
            <w:r w:rsidRPr="009678BF">
              <w:rPr>
                <w:b/>
              </w:rPr>
              <w:t>Date</w:t>
            </w:r>
            <w:r w:rsidR="00DF7B7F">
              <w:rPr>
                <w:b/>
              </w:rPr>
              <w:t> </w:t>
            </w:r>
            <w:r w:rsidRPr="009678BF">
              <w:rPr>
                <w:b/>
              </w:rPr>
              <w:t>:</w:t>
            </w:r>
          </w:p>
        </w:tc>
        <w:tc>
          <w:tcPr>
            <w:tcW w:w="3370" w:type="dxa"/>
            <w:tcBorders>
              <w:bottom w:val="single" w:sz="4" w:space="0" w:color="000000"/>
            </w:tcBorders>
          </w:tcPr>
          <w:p w:rsidR="00675745" w:rsidRDefault="00675745" w:rsidP="00A53F77">
            <w:pPr>
              <w:spacing w:before="0" w:line="276" w:lineRule="auto"/>
              <w:jc w:val="left"/>
            </w:pPr>
          </w:p>
        </w:tc>
        <w:tc>
          <w:tcPr>
            <w:tcW w:w="270" w:type="dxa"/>
          </w:tcPr>
          <w:p w:rsidR="00675745" w:rsidRDefault="00675745" w:rsidP="00A53F77">
            <w:pPr>
              <w:spacing w:before="0" w:line="276" w:lineRule="auto"/>
              <w:jc w:val="left"/>
            </w:pPr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:rsidR="00675745" w:rsidRDefault="00675745" w:rsidP="00A53F77">
            <w:pPr>
              <w:spacing w:before="0" w:line="276" w:lineRule="auto"/>
              <w:jc w:val="left"/>
            </w:pPr>
          </w:p>
        </w:tc>
      </w:tr>
      <w:tr w:rsidR="00675745" w:rsidTr="00A53F77">
        <w:trPr>
          <w:trHeight w:val="476"/>
        </w:trPr>
        <w:tc>
          <w:tcPr>
            <w:tcW w:w="1508" w:type="dxa"/>
            <w:vAlign w:val="center"/>
          </w:tcPr>
          <w:p w:rsidR="00675745" w:rsidRPr="009678BF" w:rsidRDefault="00675745" w:rsidP="00A53F77">
            <w:pPr>
              <w:spacing w:before="0" w:line="276" w:lineRule="auto"/>
              <w:jc w:val="left"/>
              <w:rPr>
                <w:b/>
              </w:rPr>
            </w:pPr>
            <w:r w:rsidRPr="009678BF">
              <w:rPr>
                <w:b/>
              </w:rPr>
              <w:t>Signatures</w:t>
            </w:r>
            <w:r w:rsidR="00DF7B7F">
              <w:rPr>
                <w:b/>
              </w:rPr>
              <w:t> </w:t>
            </w:r>
            <w:r w:rsidRPr="009678BF">
              <w:rPr>
                <w:b/>
              </w:rPr>
              <w:t>:</w:t>
            </w:r>
          </w:p>
        </w:tc>
        <w:tc>
          <w:tcPr>
            <w:tcW w:w="33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5745" w:rsidRDefault="00675745" w:rsidP="00A53F77">
            <w:pPr>
              <w:spacing w:before="0" w:line="276" w:lineRule="auto"/>
              <w:jc w:val="left"/>
            </w:pPr>
          </w:p>
        </w:tc>
        <w:tc>
          <w:tcPr>
            <w:tcW w:w="270" w:type="dxa"/>
            <w:vAlign w:val="center"/>
          </w:tcPr>
          <w:p w:rsidR="00675745" w:rsidRDefault="00675745" w:rsidP="00A53F77">
            <w:pPr>
              <w:spacing w:before="0" w:line="276" w:lineRule="auto"/>
              <w:jc w:val="left"/>
            </w:pP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5745" w:rsidRDefault="00675745" w:rsidP="00A53F77">
            <w:pPr>
              <w:spacing w:before="0" w:line="276" w:lineRule="auto"/>
              <w:jc w:val="left"/>
            </w:pPr>
          </w:p>
        </w:tc>
      </w:tr>
      <w:tr w:rsidR="00675745" w:rsidRPr="00601650" w:rsidTr="002F54D6">
        <w:tc>
          <w:tcPr>
            <w:tcW w:w="1508" w:type="dxa"/>
          </w:tcPr>
          <w:p w:rsidR="00675745" w:rsidRDefault="00675745" w:rsidP="00A53F77">
            <w:pPr>
              <w:spacing w:before="0" w:line="276" w:lineRule="auto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</w:tcBorders>
          </w:tcPr>
          <w:p w:rsidR="00675745" w:rsidRPr="00DF7B7F" w:rsidRDefault="00DF7B7F" w:rsidP="00A53F77">
            <w:pPr>
              <w:spacing w:before="0" w:line="276" w:lineRule="auto"/>
              <w:jc w:val="left"/>
              <w:rPr>
                <w:b/>
                <w:sz w:val="14"/>
                <w:lang w:val="fr-CA"/>
              </w:rPr>
            </w:pPr>
            <w:r w:rsidRPr="00DF7B7F">
              <w:rPr>
                <w:b/>
                <w:sz w:val="14"/>
                <w:lang w:val="fr-CA"/>
              </w:rPr>
              <w:t>Propriétaire de l’entreprise</w:t>
            </w:r>
          </w:p>
        </w:tc>
        <w:tc>
          <w:tcPr>
            <w:tcW w:w="270" w:type="dxa"/>
          </w:tcPr>
          <w:p w:rsidR="00675745" w:rsidRPr="00DF7B7F" w:rsidRDefault="00675745" w:rsidP="00A53F77">
            <w:pPr>
              <w:spacing w:before="0" w:line="276" w:lineRule="auto"/>
              <w:jc w:val="left"/>
              <w:rPr>
                <w:b/>
                <w:sz w:val="14"/>
                <w:lang w:val="fr-CA"/>
              </w:rPr>
            </w:pPr>
          </w:p>
        </w:tc>
        <w:tc>
          <w:tcPr>
            <w:tcW w:w="3960" w:type="dxa"/>
            <w:tcBorders>
              <w:top w:val="single" w:sz="4" w:space="0" w:color="000000"/>
            </w:tcBorders>
          </w:tcPr>
          <w:p w:rsidR="00675745" w:rsidRPr="00DF7B7F" w:rsidRDefault="00DF7B7F" w:rsidP="00A53F77">
            <w:pPr>
              <w:spacing w:before="0" w:line="276" w:lineRule="auto"/>
              <w:jc w:val="left"/>
              <w:rPr>
                <w:b/>
                <w:sz w:val="14"/>
                <w:lang w:val="fr-CA"/>
              </w:rPr>
            </w:pPr>
            <w:r w:rsidRPr="00DF7B7F">
              <w:rPr>
                <w:b/>
                <w:sz w:val="14"/>
                <w:lang w:val="fr-CA"/>
              </w:rPr>
              <w:t>Représentant en matière de santé et sécu</w:t>
            </w:r>
            <w:r>
              <w:rPr>
                <w:b/>
                <w:sz w:val="14"/>
                <w:lang w:val="fr-CA"/>
              </w:rPr>
              <w:t>rité de l’employé</w:t>
            </w:r>
          </w:p>
        </w:tc>
      </w:tr>
    </w:tbl>
    <w:p w:rsidR="008C4BE4" w:rsidRPr="00DF7B7F" w:rsidRDefault="008C4BE4" w:rsidP="002A358B">
      <w:pPr>
        <w:rPr>
          <w:lang w:val="fr-CA"/>
        </w:rPr>
      </w:pPr>
    </w:p>
    <w:sectPr w:rsidR="008C4BE4" w:rsidRPr="00DF7B7F" w:rsidSect="008C4B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23" w:rsidRDefault="002B0523" w:rsidP="0065308F">
      <w:pPr>
        <w:spacing w:before="0"/>
      </w:pPr>
      <w:r>
        <w:separator/>
      </w:r>
    </w:p>
  </w:endnote>
  <w:endnote w:type="continuationSeparator" w:id="0">
    <w:p w:rsidR="002B0523" w:rsidRDefault="002B0523" w:rsidP="0065308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14" w:rsidRPr="006432F8" w:rsidRDefault="002B0523" w:rsidP="006432F8">
    <w:pPr>
      <w:pStyle w:val="Footer"/>
      <w:tabs>
        <w:tab w:val="clear" w:pos="4680"/>
        <w:tab w:val="center" w:pos="6120"/>
      </w:tabs>
      <w:rPr>
        <w:rFonts w:ascii="Verdana" w:hAnsi="Verdana"/>
        <w:color w:val="7F7F7F"/>
        <w:sz w:val="14"/>
        <w:szCs w:val="14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23" w:rsidRDefault="002B0523" w:rsidP="0065308F">
      <w:pPr>
        <w:spacing w:before="0"/>
      </w:pPr>
      <w:r>
        <w:separator/>
      </w:r>
    </w:p>
  </w:footnote>
  <w:footnote w:type="continuationSeparator" w:id="0">
    <w:p w:rsidR="002B0523" w:rsidRDefault="002B0523" w:rsidP="0065308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45"/>
    <w:rsid w:val="000759B3"/>
    <w:rsid w:val="000953BC"/>
    <w:rsid w:val="0015168B"/>
    <w:rsid w:val="00155708"/>
    <w:rsid w:val="00185E15"/>
    <w:rsid w:val="001C0165"/>
    <w:rsid w:val="001E48C3"/>
    <w:rsid w:val="001F1D43"/>
    <w:rsid w:val="00274AEB"/>
    <w:rsid w:val="00286203"/>
    <w:rsid w:val="002A247E"/>
    <w:rsid w:val="002A358B"/>
    <w:rsid w:val="002B0523"/>
    <w:rsid w:val="00356E65"/>
    <w:rsid w:val="00394805"/>
    <w:rsid w:val="003E54DF"/>
    <w:rsid w:val="0041042B"/>
    <w:rsid w:val="00487CFD"/>
    <w:rsid w:val="004B1164"/>
    <w:rsid w:val="00545155"/>
    <w:rsid w:val="0055651B"/>
    <w:rsid w:val="00601650"/>
    <w:rsid w:val="0065308F"/>
    <w:rsid w:val="00657FF1"/>
    <w:rsid w:val="00675745"/>
    <w:rsid w:val="006E2F5F"/>
    <w:rsid w:val="00755621"/>
    <w:rsid w:val="007A36EE"/>
    <w:rsid w:val="007B421D"/>
    <w:rsid w:val="007D539E"/>
    <w:rsid w:val="008300FF"/>
    <w:rsid w:val="008667A1"/>
    <w:rsid w:val="00867823"/>
    <w:rsid w:val="008C4BE4"/>
    <w:rsid w:val="008C4D80"/>
    <w:rsid w:val="008F5EEA"/>
    <w:rsid w:val="00903816"/>
    <w:rsid w:val="00903D02"/>
    <w:rsid w:val="00932ABA"/>
    <w:rsid w:val="00993E2F"/>
    <w:rsid w:val="009D183C"/>
    <w:rsid w:val="009F304E"/>
    <w:rsid w:val="00A53F77"/>
    <w:rsid w:val="00A71B60"/>
    <w:rsid w:val="00B21048"/>
    <w:rsid w:val="00B2479A"/>
    <w:rsid w:val="00B26C56"/>
    <w:rsid w:val="00B31D68"/>
    <w:rsid w:val="00B36ED5"/>
    <w:rsid w:val="00B44CCB"/>
    <w:rsid w:val="00B453F8"/>
    <w:rsid w:val="00C43243"/>
    <w:rsid w:val="00C6443E"/>
    <w:rsid w:val="00C823EC"/>
    <w:rsid w:val="00C9525C"/>
    <w:rsid w:val="00CB16C3"/>
    <w:rsid w:val="00CE63F8"/>
    <w:rsid w:val="00D03842"/>
    <w:rsid w:val="00D25F93"/>
    <w:rsid w:val="00D33556"/>
    <w:rsid w:val="00D344B0"/>
    <w:rsid w:val="00D5536F"/>
    <w:rsid w:val="00D712FC"/>
    <w:rsid w:val="00D80B1F"/>
    <w:rsid w:val="00DA76A4"/>
    <w:rsid w:val="00DF7B7F"/>
    <w:rsid w:val="00E13E46"/>
    <w:rsid w:val="00E2462A"/>
    <w:rsid w:val="00E35047"/>
    <w:rsid w:val="00E81839"/>
    <w:rsid w:val="00EA5B00"/>
    <w:rsid w:val="00EC2908"/>
    <w:rsid w:val="00EC3596"/>
    <w:rsid w:val="00EE0B46"/>
    <w:rsid w:val="00F137C6"/>
    <w:rsid w:val="00F26387"/>
    <w:rsid w:val="00F55710"/>
    <w:rsid w:val="00F97127"/>
    <w:rsid w:val="00FA6F22"/>
    <w:rsid w:val="00FA707B"/>
    <w:rsid w:val="00FB1757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54BA4-A379-4986-845F-110200D8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45"/>
    <w:pPr>
      <w:spacing w:before="240" w:after="0" w:line="240" w:lineRule="auto"/>
      <w:jc w:val="both"/>
    </w:pPr>
    <w:rPr>
      <w:rFonts w:ascii="Verdana" w:eastAsia="Times New Roman" w:hAnsi="Verdana" w:cs="Arial"/>
      <w:sz w:val="20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675745"/>
    <w:pPr>
      <w:keepNext/>
      <w:pBdr>
        <w:bottom w:val="single" w:sz="4" w:space="1" w:color="auto"/>
      </w:pBdr>
      <w:spacing w:after="360"/>
      <w:outlineLvl w:val="0"/>
    </w:pPr>
    <w:rPr>
      <w:rFonts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basedOn w:val="DefaultParagraphFont"/>
    <w:link w:val="Heading1"/>
    <w:rsid w:val="00675745"/>
    <w:rPr>
      <w:rFonts w:ascii="Verdana" w:eastAsia="Times New Roman" w:hAnsi="Verdana" w:cs="Times New Roman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rsid w:val="00675745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7574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75745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5745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75745"/>
    <w:pPr>
      <w:spacing w:before="0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5745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82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3E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3EC"/>
    <w:rPr>
      <w:rFonts w:ascii="Verdana" w:eastAsia="Times New Roman" w:hAnsi="Verdana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3EC"/>
    <w:rPr>
      <w:rFonts w:ascii="Verdana" w:eastAsia="Times New Roman" w:hAnsi="Verdana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E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D3D7B-C166-4771-A56F-8D28393F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Crowe</dc:creator>
  <cp:lastModifiedBy>Nicole Nash</cp:lastModifiedBy>
  <cp:revision>2</cp:revision>
  <dcterms:created xsi:type="dcterms:W3CDTF">2017-01-09T14:34:00Z</dcterms:created>
  <dcterms:modified xsi:type="dcterms:W3CDTF">2017-01-09T14:34:00Z</dcterms:modified>
</cp:coreProperties>
</file>