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84" w:rsidRPr="00177310" w:rsidRDefault="009D59C5" w:rsidP="009D59C5">
      <w:pPr>
        <w:jc w:val="center"/>
        <w:rPr>
          <w:b/>
          <w:u w:val="single"/>
        </w:rPr>
      </w:pPr>
      <w:r w:rsidRPr="00177310">
        <w:rPr>
          <w:b/>
          <w:u w:val="single"/>
        </w:rPr>
        <w:t>Politique concernant la prise des vacances</w:t>
      </w:r>
    </w:p>
    <w:p w:rsidR="009D59C5" w:rsidRPr="00177310" w:rsidRDefault="009D59C5" w:rsidP="009D59C5">
      <w:r w:rsidRPr="00177310">
        <w:t xml:space="preserve">Afin d’assurer une uniformité et une équité dans la prise des vacances au sein de l’entreprise, nous mettons en place cette nouvelle politique, qui entre en vigueur dès le </w:t>
      </w:r>
      <w:r w:rsidRPr="00177310">
        <w:rPr>
          <w:highlight w:val="yellow"/>
        </w:rPr>
        <w:t>Date</w:t>
      </w:r>
      <w:r w:rsidRPr="00177310">
        <w:t xml:space="preserve">. </w:t>
      </w:r>
    </w:p>
    <w:p w:rsidR="009D59C5" w:rsidRPr="00177310" w:rsidRDefault="009D59C5" w:rsidP="009D59C5">
      <w:pPr>
        <w:pStyle w:val="Corpsdetexte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77310">
        <w:rPr>
          <w:rFonts w:asciiTheme="minorHAnsi" w:hAnsiTheme="minorHAnsi"/>
          <w:b/>
          <w:sz w:val="22"/>
          <w:szCs w:val="22"/>
        </w:rPr>
        <w:t>Accumulation de vacances</w:t>
      </w:r>
    </w:p>
    <w:p w:rsidR="009D59C5" w:rsidRPr="00177310" w:rsidRDefault="009D59C5" w:rsidP="009D59C5">
      <w:pPr>
        <w:pStyle w:val="Corpsdetexte3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177310" w:rsidRPr="00177310" w:rsidRDefault="009D59C5" w:rsidP="00177310">
      <w:pPr>
        <w:pStyle w:val="Corpsdetexte3"/>
        <w:spacing w:after="0"/>
        <w:ind w:left="0"/>
        <w:jc w:val="both"/>
        <w:rPr>
          <w:rFonts w:asciiTheme="minorHAnsi" w:hAnsiTheme="minorHAnsi" w:cs="Tahoma"/>
          <w:b/>
          <w:sz w:val="22"/>
          <w:szCs w:val="22"/>
        </w:rPr>
      </w:pPr>
      <w:r w:rsidRPr="00177310">
        <w:rPr>
          <w:rFonts w:asciiTheme="minorHAnsi" w:hAnsiTheme="minorHAnsi"/>
          <w:sz w:val="22"/>
          <w:szCs w:val="22"/>
        </w:rPr>
        <w:t>Le tableau suivant présente le nombre de semaines de vacance</w:t>
      </w:r>
      <w:r w:rsidR="008B0982">
        <w:rPr>
          <w:rFonts w:asciiTheme="minorHAnsi" w:hAnsiTheme="minorHAnsi"/>
          <w:sz w:val="22"/>
          <w:szCs w:val="22"/>
        </w:rPr>
        <w:t xml:space="preserve">s </w:t>
      </w:r>
      <w:r w:rsidRPr="00177310">
        <w:rPr>
          <w:rFonts w:asciiTheme="minorHAnsi" w:hAnsiTheme="minorHAnsi"/>
          <w:sz w:val="22"/>
          <w:szCs w:val="22"/>
        </w:rPr>
        <w:t>auquel chaque employé a droit, en fonction de son nombre d’année</w:t>
      </w:r>
      <w:r w:rsidR="008B0982">
        <w:rPr>
          <w:rFonts w:asciiTheme="minorHAnsi" w:hAnsiTheme="minorHAnsi"/>
          <w:sz w:val="22"/>
          <w:szCs w:val="22"/>
        </w:rPr>
        <w:t xml:space="preserve">s </w:t>
      </w:r>
      <w:r w:rsidRPr="00177310">
        <w:rPr>
          <w:rFonts w:asciiTheme="minorHAnsi" w:hAnsiTheme="minorHAnsi"/>
          <w:sz w:val="22"/>
          <w:szCs w:val="22"/>
        </w:rPr>
        <w:t>de service dans l’entreprise</w:t>
      </w:r>
      <w:r w:rsidR="00177310">
        <w:rPr>
          <w:rFonts w:asciiTheme="minorHAnsi" w:hAnsiTheme="minorHAnsi"/>
          <w:sz w:val="22"/>
          <w:szCs w:val="22"/>
        </w:rPr>
        <w:t xml:space="preserve">. </w:t>
      </w:r>
      <w:r w:rsidR="00177310" w:rsidRPr="00177310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>(</w:t>
      </w:r>
      <w:r w:rsidR="00524F95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>Vérifiez les Normes du travail pour les critères</w:t>
      </w:r>
      <w:r w:rsidR="00177310" w:rsidRPr="00177310">
        <w:rPr>
          <w:rFonts w:asciiTheme="minorHAnsi" w:hAnsiTheme="minorHAnsi" w:cs="Tahoma"/>
          <w:i/>
          <w:color w:val="548DD4" w:themeColor="text2" w:themeTint="99"/>
          <w:sz w:val="22"/>
          <w:szCs w:val="22"/>
        </w:rPr>
        <w:t>)</w:t>
      </w:r>
    </w:p>
    <w:p w:rsidR="00177310" w:rsidRPr="00177310" w:rsidRDefault="00177310" w:rsidP="009D59C5">
      <w:pPr>
        <w:pStyle w:val="Corpsdetexte3"/>
        <w:spacing w:after="0"/>
        <w:ind w:left="0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926"/>
        <w:gridCol w:w="2927"/>
        <w:gridCol w:w="2927"/>
      </w:tblGrid>
      <w:tr w:rsidR="00177310" w:rsidRPr="00177310" w:rsidTr="00177310">
        <w:tc>
          <w:tcPr>
            <w:tcW w:w="2926" w:type="dxa"/>
            <w:shd w:val="clear" w:color="auto" w:fill="D9D9D9" w:themeFill="background1" w:themeFillShade="D9"/>
          </w:tcPr>
          <w:p w:rsidR="00177310" w:rsidRPr="00177310" w:rsidRDefault="00177310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Nombre d’année</w:t>
            </w:r>
            <w:r w:rsidR="008B0982">
              <w:rPr>
                <w:rFonts w:asciiTheme="minorHAnsi" w:hAnsiTheme="minorHAnsi" w:cs="Tahoma"/>
                <w:b/>
                <w:sz w:val="22"/>
                <w:szCs w:val="22"/>
              </w:rPr>
              <w:t xml:space="preserve">s </w:t>
            </w: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de service continu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177310" w:rsidRPr="00177310" w:rsidRDefault="00177310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Vacances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177310" w:rsidRPr="00177310" w:rsidRDefault="00177310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Indemnité</w:t>
            </w:r>
          </w:p>
        </w:tc>
      </w:tr>
      <w:tr w:rsidR="00177310" w:rsidRPr="00177310" w:rsidTr="00D70F84">
        <w:tc>
          <w:tcPr>
            <w:tcW w:w="2926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Moins de 1 an</w:t>
            </w:r>
          </w:p>
        </w:tc>
        <w:tc>
          <w:tcPr>
            <w:tcW w:w="2927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aucune</w:t>
            </w:r>
          </w:p>
        </w:tc>
        <w:tc>
          <w:tcPr>
            <w:tcW w:w="2927" w:type="dxa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0%</w:t>
            </w:r>
          </w:p>
        </w:tc>
      </w:tr>
      <w:tr w:rsidR="00177310" w:rsidRPr="00177310" w:rsidTr="00D70F84">
        <w:tc>
          <w:tcPr>
            <w:tcW w:w="2926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1 an à moins de 6 ans</w:t>
            </w:r>
          </w:p>
        </w:tc>
        <w:tc>
          <w:tcPr>
            <w:tcW w:w="2927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2 semaines</w:t>
            </w:r>
          </w:p>
        </w:tc>
        <w:tc>
          <w:tcPr>
            <w:tcW w:w="2927" w:type="dxa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4%</w:t>
            </w:r>
          </w:p>
        </w:tc>
      </w:tr>
      <w:tr w:rsidR="00177310" w:rsidRPr="00177310" w:rsidTr="00D70F84">
        <w:tc>
          <w:tcPr>
            <w:tcW w:w="2926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Plus de 6 ans</w:t>
            </w:r>
          </w:p>
        </w:tc>
        <w:tc>
          <w:tcPr>
            <w:tcW w:w="2927" w:type="dxa"/>
            <w:vAlign w:val="center"/>
          </w:tcPr>
          <w:p w:rsidR="00177310" w:rsidRPr="00177310" w:rsidRDefault="00177310" w:rsidP="00177310">
            <w:pPr>
              <w:pStyle w:val="Bullet3"/>
              <w:spacing w:before="12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3 semaines</w:t>
            </w:r>
          </w:p>
        </w:tc>
        <w:tc>
          <w:tcPr>
            <w:tcW w:w="2927" w:type="dxa"/>
          </w:tcPr>
          <w:p w:rsidR="00177310" w:rsidRPr="00177310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6%</w:t>
            </w:r>
          </w:p>
        </w:tc>
      </w:tr>
    </w:tbl>
    <w:p w:rsidR="00177310" w:rsidRPr="00177310" w:rsidRDefault="00177310" w:rsidP="009D59C5">
      <w:pPr>
        <w:pStyle w:val="Corpsdetexte3"/>
        <w:spacing w:after="0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D30C87" w:rsidRPr="00177310" w:rsidRDefault="00D30C87" w:rsidP="009D59C5">
      <w:pPr>
        <w:jc w:val="both"/>
        <w:rPr>
          <w:rFonts w:cs="Tahoma"/>
          <w:b/>
        </w:rPr>
      </w:pPr>
      <w:r w:rsidRPr="00177310">
        <w:rPr>
          <w:rFonts w:cs="Tahoma"/>
          <w:b/>
        </w:rPr>
        <w:t>Année de référence</w:t>
      </w:r>
    </w:p>
    <w:p w:rsidR="00D30C87" w:rsidRPr="00177310" w:rsidRDefault="00D30C87" w:rsidP="009D59C5">
      <w:pPr>
        <w:jc w:val="both"/>
        <w:rPr>
          <w:rFonts w:cs="Tahoma"/>
        </w:rPr>
      </w:pPr>
      <w:r w:rsidRPr="00177310">
        <w:rPr>
          <w:rFonts w:cs="Tahoma"/>
        </w:rPr>
        <w:t xml:space="preserve">L’année de référence utilisée pour le calcul </w:t>
      </w:r>
      <w:r w:rsidR="00BE6915">
        <w:rPr>
          <w:rFonts w:cs="Tahoma"/>
        </w:rPr>
        <w:t>de</w:t>
      </w:r>
      <w:r w:rsidRPr="00177310">
        <w:rPr>
          <w:rFonts w:cs="Tahoma"/>
        </w:rPr>
        <w:t xml:space="preserve"> la prise des vacances est du </w:t>
      </w:r>
      <w:r w:rsidR="00732268" w:rsidRPr="00177310">
        <w:rPr>
          <w:rFonts w:cs="Tahoma"/>
        </w:rPr>
        <w:t>1</w:t>
      </w:r>
      <w:r w:rsidR="00732268" w:rsidRPr="00177310">
        <w:rPr>
          <w:rFonts w:cs="Tahoma"/>
          <w:vertAlign w:val="superscript"/>
        </w:rPr>
        <w:t>er</w:t>
      </w:r>
      <w:r w:rsidR="00732268" w:rsidRPr="00177310">
        <w:rPr>
          <w:rFonts w:cs="Tahoma"/>
        </w:rPr>
        <w:t xml:space="preserve"> janvier au 31 décembre.</w:t>
      </w:r>
      <w:r w:rsidRPr="00177310">
        <w:rPr>
          <w:rFonts w:cs="Tahoma"/>
        </w:rPr>
        <w:t xml:space="preserve"> </w:t>
      </w:r>
    </w:p>
    <w:p w:rsidR="00D30C87" w:rsidRPr="00177310" w:rsidRDefault="00D30C87" w:rsidP="009D59C5">
      <w:pPr>
        <w:jc w:val="both"/>
        <w:rPr>
          <w:rFonts w:cs="Tahoma"/>
          <w:b/>
        </w:rPr>
      </w:pPr>
      <w:r w:rsidRPr="00177310">
        <w:rPr>
          <w:rFonts w:cs="Tahoma"/>
          <w:b/>
        </w:rPr>
        <w:t>Prise des vacances </w:t>
      </w:r>
    </w:p>
    <w:p w:rsidR="008B0982" w:rsidRDefault="00D30C87" w:rsidP="009D59C5">
      <w:pPr>
        <w:jc w:val="both"/>
        <w:rPr>
          <w:rFonts w:cs="Tahoma"/>
          <w:color w:val="548DD4" w:themeColor="text2" w:themeTint="99"/>
        </w:rPr>
      </w:pPr>
      <w:r w:rsidRPr="00177310">
        <w:rPr>
          <w:rFonts w:cs="Tahoma"/>
        </w:rPr>
        <w:t>Vous devez obligatoirement prendre vos vacances dans l’année de référence qui suit celle où vous les avez accumulé</w:t>
      </w:r>
      <w:r w:rsidR="008B0982">
        <w:rPr>
          <w:rFonts w:cs="Tahoma"/>
        </w:rPr>
        <w:t>es</w:t>
      </w:r>
      <w:r w:rsidRPr="00177310">
        <w:rPr>
          <w:rFonts w:cs="Tahoma"/>
        </w:rPr>
        <w:t>. L’entreprise n’accepte pas qu’un employé prenne ses vacances de manière anticipé</w:t>
      </w:r>
      <w:r w:rsidR="008B0982">
        <w:rPr>
          <w:rFonts w:cs="Tahoma"/>
        </w:rPr>
        <w:t xml:space="preserve">e </w:t>
      </w:r>
      <w:r w:rsidRPr="00177310">
        <w:rPr>
          <w:rFonts w:cs="Tahoma"/>
        </w:rPr>
        <w:t>ou reporté</w:t>
      </w:r>
      <w:r w:rsidR="008B0982">
        <w:rPr>
          <w:rFonts w:cs="Tahoma"/>
        </w:rPr>
        <w:t>e.</w:t>
      </w:r>
      <w:r w:rsidRPr="00177310">
        <w:rPr>
          <w:rFonts w:cs="Tahoma"/>
        </w:rPr>
        <w:t xml:space="preserve"> </w:t>
      </w:r>
      <w:r w:rsidR="00311533" w:rsidRPr="00177310">
        <w:rPr>
          <w:rFonts w:cs="Tahoma"/>
          <w:color w:val="548DD4" w:themeColor="text2" w:themeTint="99"/>
        </w:rPr>
        <w:t>(Vous auriez le droit d’accepter qu’un employé reporte ses vacances à l’année suivante, mais ce n’est pas une obligation)</w:t>
      </w:r>
      <w:r w:rsidR="008B0982">
        <w:rPr>
          <w:rFonts w:cs="Tahoma"/>
          <w:color w:val="548DD4" w:themeColor="text2" w:themeTint="99"/>
        </w:rPr>
        <w:t>.</w:t>
      </w:r>
    </w:p>
    <w:p w:rsidR="008028E3" w:rsidRPr="00177310" w:rsidRDefault="00732268" w:rsidP="009D59C5">
      <w:pPr>
        <w:jc w:val="both"/>
        <w:rPr>
          <w:rFonts w:cs="Tahoma"/>
          <w:color w:val="FF0000"/>
        </w:rPr>
      </w:pPr>
      <w:r w:rsidRPr="00177310">
        <w:rPr>
          <w:rFonts w:cs="Tahoma"/>
          <w:color w:val="FF0000"/>
        </w:rPr>
        <w:t xml:space="preserve">Vous devez obligatoirement prendre vos vacances. Il n’est pas possible de se faire payer ses vacances tout en restant au travail. </w:t>
      </w:r>
    </w:p>
    <w:p w:rsidR="00D30C87" w:rsidRPr="00177310" w:rsidRDefault="00D30C87" w:rsidP="009D59C5">
      <w:pPr>
        <w:jc w:val="both"/>
        <w:rPr>
          <w:rFonts w:cs="Tahoma"/>
          <w:b/>
        </w:rPr>
      </w:pPr>
      <w:r w:rsidRPr="00177310">
        <w:rPr>
          <w:rFonts w:cs="Tahoma"/>
          <w:b/>
        </w:rPr>
        <w:t>Demande de vacances</w:t>
      </w:r>
    </w:p>
    <w:p w:rsidR="00311533" w:rsidRPr="00177310" w:rsidRDefault="00D30C87" w:rsidP="009D59C5">
      <w:pPr>
        <w:jc w:val="both"/>
        <w:rPr>
          <w:rFonts w:cs="Tahoma"/>
        </w:rPr>
      </w:pPr>
      <w:r w:rsidRPr="00177310">
        <w:rPr>
          <w:rFonts w:cs="Tahoma"/>
        </w:rPr>
        <w:t xml:space="preserve">Lorsqu’un employé désire prendre des vacances, il doit en faire la demande par écrit à son superviseur au </w:t>
      </w:r>
      <w:r w:rsidRPr="00177310">
        <w:rPr>
          <w:rFonts w:cs="Tahoma"/>
          <w:highlight w:val="yellow"/>
        </w:rPr>
        <w:t>moins X semaines</w:t>
      </w:r>
      <w:r w:rsidRPr="00177310">
        <w:rPr>
          <w:rFonts w:cs="Tahoma"/>
        </w:rPr>
        <w:t xml:space="preserve"> d’avance. </w:t>
      </w:r>
      <w:r w:rsidR="009D59C5" w:rsidRPr="00177310">
        <w:rPr>
          <w:rFonts w:cs="Tahoma"/>
        </w:rPr>
        <w:t xml:space="preserve">Nous tenterons de satisfaire les préférences de tous les employés, mais le calendrier sera établi en tenant compte des besoins des opérations. L’ancienneté sera privilégiée dans la mesure du possible. </w:t>
      </w:r>
    </w:p>
    <w:p w:rsidR="00177310" w:rsidRDefault="00311533" w:rsidP="00311533">
      <w:pPr>
        <w:jc w:val="both"/>
        <w:rPr>
          <w:rFonts w:cs="Tahoma"/>
        </w:rPr>
      </w:pPr>
      <w:r w:rsidRPr="00177310">
        <w:rPr>
          <w:rFonts w:cs="Tahoma"/>
        </w:rPr>
        <w:t xml:space="preserve">Nous nous réservons le droit de fixer la date de vos vacances si aucune demande n’a été reçue avant le </w:t>
      </w:r>
      <w:r w:rsidRPr="00177310">
        <w:rPr>
          <w:rFonts w:cs="Tahoma"/>
          <w:highlight w:val="yellow"/>
        </w:rPr>
        <w:t>Date</w:t>
      </w:r>
      <w:r w:rsidRPr="00177310">
        <w:rPr>
          <w:rFonts w:cs="Tahoma"/>
        </w:rPr>
        <w:t xml:space="preserve">. Si cette situation devait arriver, vous serez avisé au moins </w:t>
      </w:r>
      <w:r w:rsidR="0085446E">
        <w:rPr>
          <w:rFonts w:cs="Tahoma"/>
        </w:rPr>
        <w:t xml:space="preserve"> </w:t>
      </w:r>
      <w:r w:rsidR="0085446E" w:rsidRPr="0085446E">
        <w:rPr>
          <w:rFonts w:cs="Tahoma"/>
          <w:highlight w:val="yellow"/>
        </w:rPr>
        <w:t>deux (</w:t>
      </w:r>
      <w:r w:rsidR="00177310" w:rsidRPr="0085446E">
        <w:rPr>
          <w:rFonts w:cs="Tahoma"/>
          <w:highlight w:val="yellow"/>
        </w:rPr>
        <w:t>2</w:t>
      </w:r>
      <w:r w:rsidR="0085446E" w:rsidRPr="0085446E">
        <w:rPr>
          <w:rFonts w:cs="Tahoma"/>
          <w:highlight w:val="yellow"/>
        </w:rPr>
        <w:t>)</w:t>
      </w:r>
      <w:r w:rsidRPr="0085446E">
        <w:rPr>
          <w:rFonts w:cs="Tahoma"/>
          <w:highlight w:val="yellow"/>
        </w:rPr>
        <w:t xml:space="preserve"> semaines</w:t>
      </w:r>
      <w:r w:rsidRPr="00177310">
        <w:rPr>
          <w:rFonts w:cs="Tahoma"/>
        </w:rPr>
        <w:t xml:space="preserve"> </w:t>
      </w:r>
      <w:r w:rsidR="0056798D">
        <w:rPr>
          <w:rFonts w:cs="Tahoma"/>
        </w:rPr>
        <w:t xml:space="preserve"> </w:t>
      </w:r>
      <w:r w:rsidRPr="00177310">
        <w:rPr>
          <w:rFonts w:cs="Tahoma"/>
        </w:rPr>
        <w:t xml:space="preserve">à l’avance. </w:t>
      </w:r>
      <w:r w:rsidR="0056798D" w:rsidRPr="0056798D">
        <w:rPr>
          <w:rFonts w:cs="Tahoma"/>
          <w:color w:val="548DD4" w:themeColor="text2" w:themeTint="99"/>
        </w:rPr>
        <w:t>(C’est le minimum selon le code du travail)</w:t>
      </w:r>
    </w:p>
    <w:p w:rsidR="00177310" w:rsidRDefault="00177310" w:rsidP="00311533">
      <w:pPr>
        <w:jc w:val="both"/>
        <w:rPr>
          <w:rFonts w:cs="Tahoma"/>
        </w:rPr>
      </w:pPr>
      <w:r>
        <w:rPr>
          <w:rFonts w:cs="Tahoma"/>
        </w:rPr>
        <w:t>Merci de votre collaboration,</w:t>
      </w:r>
    </w:p>
    <w:p w:rsidR="00E35CD2" w:rsidRDefault="0085446E" w:rsidP="00E35CD2">
      <w:pPr>
        <w:jc w:val="both"/>
        <w:rPr>
          <w:rFonts w:cs="Tahoma"/>
        </w:rPr>
      </w:pPr>
      <w:r>
        <w:rPr>
          <w:rFonts w:cs="Tahoma"/>
        </w:rPr>
        <w:t>Nom, titre et signature</w:t>
      </w:r>
      <w:r w:rsidR="00E35CD2">
        <w:rPr>
          <w:rFonts w:cs="Tahoma"/>
        </w:rPr>
        <w:br w:type="page"/>
      </w:r>
    </w:p>
    <w:p w:rsidR="00E35CD2" w:rsidRPr="00524F95" w:rsidRDefault="00D70F84" w:rsidP="00E35CD2">
      <w:pPr>
        <w:jc w:val="center"/>
        <w:rPr>
          <w:b/>
          <w:u w:val="single"/>
        </w:rPr>
      </w:pPr>
      <w:r w:rsidRPr="00524F95">
        <w:rPr>
          <w:b/>
          <w:u w:val="single"/>
        </w:rPr>
        <w:lastRenderedPageBreak/>
        <w:t>Vacation Policy</w:t>
      </w:r>
    </w:p>
    <w:p w:rsidR="00D70F84" w:rsidRPr="00D70F84" w:rsidRDefault="00D70F84" w:rsidP="00E35CD2">
      <w:pPr>
        <w:rPr>
          <w:lang w:val="en-CA"/>
        </w:rPr>
      </w:pPr>
      <w:r w:rsidRPr="00D70F84">
        <w:rPr>
          <w:lang w:val="en-CA"/>
        </w:rPr>
        <w:t xml:space="preserve">In order to </w:t>
      </w:r>
      <w:r w:rsidR="008B0982">
        <w:rPr>
          <w:lang w:val="en-CA"/>
        </w:rPr>
        <w:t>e</w:t>
      </w:r>
      <w:r w:rsidRPr="00D70F84">
        <w:rPr>
          <w:lang w:val="en-CA"/>
        </w:rPr>
        <w:t xml:space="preserve">nsure consistency and equity </w:t>
      </w:r>
      <w:r>
        <w:rPr>
          <w:lang w:val="en-CA"/>
        </w:rPr>
        <w:t xml:space="preserve">inside the company when taking vacation, we are implementing this new policy, effective </w:t>
      </w:r>
      <w:r w:rsidRPr="00D70F84">
        <w:rPr>
          <w:highlight w:val="yellow"/>
          <w:lang w:val="en-CA"/>
        </w:rPr>
        <w:t>Date</w:t>
      </w:r>
      <w:r>
        <w:rPr>
          <w:lang w:val="en-CA"/>
        </w:rPr>
        <w:t xml:space="preserve">. </w:t>
      </w:r>
    </w:p>
    <w:p w:rsidR="00E35CD2" w:rsidRPr="00D70F84" w:rsidRDefault="00D70F84" w:rsidP="00E35CD2">
      <w:pPr>
        <w:pStyle w:val="Corpsdetexte3"/>
        <w:spacing w:after="0"/>
        <w:ind w:left="0"/>
        <w:jc w:val="both"/>
        <w:rPr>
          <w:rFonts w:asciiTheme="minorHAnsi" w:hAnsiTheme="minorHAnsi"/>
          <w:b/>
          <w:sz w:val="22"/>
          <w:szCs w:val="22"/>
          <w:lang w:val="en-CA"/>
        </w:rPr>
      </w:pPr>
      <w:r w:rsidRPr="00D70F84">
        <w:rPr>
          <w:rFonts w:asciiTheme="minorHAnsi" w:hAnsiTheme="minorHAnsi"/>
          <w:b/>
          <w:sz w:val="22"/>
          <w:szCs w:val="22"/>
          <w:lang w:val="en-CA"/>
        </w:rPr>
        <w:t>Vacation accrual</w:t>
      </w:r>
    </w:p>
    <w:p w:rsidR="00E35CD2" w:rsidRPr="00D70F84" w:rsidRDefault="00E35CD2" w:rsidP="00E35CD2">
      <w:pPr>
        <w:pStyle w:val="Corpsdetexte3"/>
        <w:spacing w:after="0"/>
        <w:ind w:left="0"/>
        <w:jc w:val="both"/>
        <w:rPr>
          <w:rFonts w:asciiTheme="minorHAnsi" w:hAnsiTheme="minorHAnsi"/>
          <w:sz w:val="22"/>
          <w:szCs w:val="22"/>
          <w:lang w:val="en-CA"/>
        </w:rPr>
      </w:pPr>
    </w:p>
    <w:p w:rsidR="00E35CD2" w:rsidRPr="00D70F84" w:rsidRDefault="00D70F84" w:rsidP="00E35CD2">
      <w:pPr>
        <w:pStyle w:val="Corpsdetexte3"/>
        <w:spacing w:after="0"/>
        <w:ind w:left="0"/>
        <w:jc w:val="both"/>
        <w:rPr>
          <w:rFonts w:asciiTheme="minorHAnsi" w:hAnsiTheme="minorHAnsi"/>
          <w:sz w:val="22"/>
          <w:szCs w:val="22"/>
          <w:lang w:val="en-CA"/>
        </w:rPr>
      </w:pPr>
      <w:r w:rsidRPr="00D70F84">
        <w:rPr>
          <w:rFonts w:asciiTheme="minorHAnsi" w:hAnsiTheme="minorHAnsi"/>
          <w:sz w:val="22"/>
          <w:szCs w:val="22"/>
          <w:lang w:val="en-CA"/>
        </w:rPr>
        <w:t>The following table show</w:t>
      </w:r>
      <w:r w:rsidR="008B0982">
        <w:rPr>
          <w:rFonts w:asciiTheme="minorHAnsi" w:hAnsiTheme="minorHAnsi"/>
          <w:sz w:val="22"/>
          <w:szCs w:val="22"/>
          <w:lang w:val="en-CA"/>
        </w:rPr>
        <w:t xml:space="preserve">s </w:t>
      </w:r>
      <w:r w:rsidRPr="00D70F84">
        <w:rPr>
          <w:rFonts w:asciiTheme="minorHAnsi" w:hAnsiTheme="minorHAnsi"/>
          <w:sz w:val="22"/>
          <w:szCs w:val="22"/>
          <w:lang w:val="en-CA"/>
        </w:rPr>
        <w:t xml:space="preserve">the number of weeks each employee is entitled to in regard to </w:t>
      </w:r>
      <w:r>
        <w:rPr>
          <w:rFonts w:asciiTheme="minorHAnsi" w:hAnsiTheme="minorHAnsi"/>
          <w:sz w:val="22"/>
          <w:szCs w:val="22"/>
          <w:lang w:val="en-CA"/>
        </w:rPr>
        <w:t xml:space="preserve">the length of the employee uninterrupted service in the company. </w:t>
      </w:r>
      <w:r w:rsidR="00E35CD2" w:rsidRPr="00D70F84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E35CD2" w:rsidRPr="008B0982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(Minimum </w:t>
      </w:r>
      <w:proofErr w:type="spellStart"/>
      <w:r w:rsidR="00E35CD2" w:rsidRPr="008B0982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selon</w:t>
      </w:r>
      <w:proofErr w:type="spellEnd"/>
      <w:r w:rsidR="00E35CD2" w:rsidRPr="008B0982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 le Code du travail)</w:t>
      </w:r>
    </w:p>
    <w:p w:rsidR="00E35CD2" w:rsidRPr="008B0982" w:rsidRDefault="00E35CD2" w:rsidP="00E35CD2">
      <w:pPr>
        <w:pStyle w:val="Corpsdetexte3"/>
        <w:spacing w:after="0"/>
        <w:ind w:left="0"/>
        <w:jc w:val="both"/>
        <w:rPr>
          <w:rFonts w:asciiTheme="minorHAnsi" w:hAnsiTheme="minorHAnsi" w:cs="Tahoma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2926"/>
        <w:gridCol w:w="2927"/>
        <w:gridCol w:w="2927"/>
      </w:tblGrid>
      <w:tr w:rsidR="00E35CD2" w:rsidRPr="00177310" w:rsidTr="00D70F84">
        <w:tc>
          <w:tcPr>
            <w:tcW w:w="2926" w:type="dxa"/>
            <w:shd w:val="clear" w:color="auto" w:fill="D9D9D9" w:themeFill="background1" w:themeFillShade="D9"/>
          </w:tcPr>
          <w:p w:rsidR="00E35CD2" w:rsidRPr="00177310" w:rsidRDefault="00D70F84" w:rsidP="00D70F84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2"/>
                <w:szCs w:val="22"/>
              </w:rPr>
              <w:t>Years</w:t>
            </w:r>
            <w:proofErr w:type="spellEnd"/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="Tahoma"/>
                <w:b/>
                <w:sz w:val="22"/>
                <w:szCs w:val="22"/>
              </w:rPr>
              <w:t>uninterrupted</w:t>
            </w:r>
            <w:proofErr w:type="spellEnd"/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service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E35CD2" w:rsidRPr="00177310" w:rsidRDefault="00E35CD2" w:rsidP="00D70F84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Vaca</w:t>
            </w:r>
            <w:r w:rsidR="00D70F84">
              <w:rPr>
                <w:rFonts w:asciiTheme="minorHAnsi" w:hAnsiTheme="minorHAnsi" w:cs="Tahoma"/>
                <w:b/>
                <w:sz w:val="22"/>
                <w:szCs w:val="22"/>
              </w:rPr>
              <w:t>tion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E35CD2" w:rsidRPr="00177310" w:rsidRDefault="00E35CD2" w:rsidP="00D70F84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177310">
              <w:rPr>
                <w:rFonts w:asciiTheme="minorHAnsi" w:hAnsiTheme="minorHAnsi" w:cs="Tahoma"/>
                <w:b/>
                <w:sz w:val="22"/>
                <w:szCs w:val="22"/>
              </w:rPr>
              <w:t>Indemnit</w:t>
            </w:r>
            <w:r w:rsidR="00D70F84">
              <w:rPr>
                <w:rFonts w:asciiTheme="minorHAnsi" w:hAnsiTheme="minorHAnsi" w:cs="Tahoma"/>
                <w:b/>
                <w:sz w:val="22"/>
                <w:szCs w:val="22"/>
              </w:rPr>
              <w:t>y</w:t>
            </w:r>
            <w:proofErr w:type="spellEnd"/>
          </w:p>
        </w:tc>
      </w:tr>
      <w:tr w:rsidR="00E35CD2" w:rsidRPr="00177310" w:rsidTr="00D70F84">
        <w:tc>
          <w:tcPr>
            <w:tcW w:w="2926" w:type="dxa"/>
            <w:vAlign w:val="center"/>
          </w:tcPr>
          <w:p w:rsidR="00E35CD2" w:rsidRPr="00177310" w:rsidRDefault="00BE6915" w:rsidP="00D70F84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Less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than</w:t>
            </w:r>
            <w:proofErr w:type="spellEnd"/>
            <w:r>
              <w:rPr>
                <w:rFonts w:cs="Tahoma"/>
              </w:rPr>
              <w:t xml:space="preserve"> 1 </w:t>
            </w:r>
            <w:proofErr w:type="spellStart"/>
            <w:r>
              <w:rPr>
                <w:rFonts w:cs="Tahoma"/>
              </w:rPr>
              <w:t>year</w:t>
            </w:r>
            <w:proofErr w:type="spellEnd"/>
          </w:p>
        </w:tc>
        <w:tc>
          <w:tcPr>
            <w:tcW w:w="2927" w:type="dxa"/>
            <w:vAlign w:val="center"/>
          </w:tcPr>
          <w:p w:rsidR="00E35CD2" w:rsidRPr="00177310" w:rsidRDefault="00BE6915" w:rsidP="00D70F84">
            <w:pPr>
              <w:pStyle w:val="Bullet3"/>
              <w:spacing w:before="120"/>
              <w:jc w:val="center"/>
              <w:rPr>
                <w:rFonts w:cs="Tahoma"/>
              </w:rPr>
            </w:pPr>
            <w:r>
              <w:rPr>
                <w:rFonts w:cs="Tahoma"/>
              </w:rPr>
              <w:t>none</w:t>
            </w:r>
          </w:p>
        </w:tc>
        <w:tc>
          <w:tcPr>
            <w:tcW w:w="2927" w:type="dxa"/>
          </w:tcPr>
          <w:p w:rsidR="00E35CD2" w:rsidRPr="00177310" w:rsidRDefault="00E35CD2" w:rsidP="00D70F84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0%</w:t>
            </w:r>
          </w:p>
        </w:tc>
      </w:tr>
      <w:tr w:rsidR="00E35CD2" w:rsidRPr="00177310" w:rsidTr="00D70F84">
        <w:tc>
          <w:tcPr>
            <w:tcW w:w="2926" w:type="dxa"/>
            <w:vAlign w:val="center"/>
          </w:tcPr>
          <w:p w:rsidR="00E35CD2" w:rsidRPr="00177310" w:rsidRDefault="00BE6915" w:rsidP="00D70F84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1 to </w:t>
            </w:r>
            <w:proofErr w:type="spellStart"/>
            <w:r>
              <w:rPr>
                <w:rFonts w:cs="Tahoma"/>
              </w:rPr>
              <w:t>less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than</w:t>
            </w:r>
            <w:proofErr w:type="spellEnd"/>
            <w:r>
              <w:rPr>
                <w:rFonts w:cs="Tahoma"/>
              </w:rPr>
              <w:t xml:space="preserve"> 6 </w:t>
            </w:r>
            <w:proofErr w:type="spellStart"/>
            <w:r>
              <w:rPr>
                <w:rFonts w:cs="Tahoma"/>
              </w:rPr>
              <w:t>years</w:t>
            </w:r>
            <w:proofErr w:type="spellEnd"/>
          </w:p>
        </w:tc>
        <w:tc>
          <w:tcPr>
            <w:tcW w:w="2927" w:type="dxa"/>
            <w:vAlign w:val="center"/>
          </w:tcPr>
          <w:p w:rsidR="00E35CD2" w:rsidRPr="00177310" w:rsidRDefault="00E35CD2" w:rsidP="00BE6915">
            <w:pPr>
              <w:pStyle w:val="Bullet3"/>
              <w:spacing w:before="12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 xml:space="preserve">2 </w:t>
            </w:r>
            <w:proofErr w:type="spellStart"/>
            <w:r w:rsidR="00BE6915">
              <w:rPr>
                <w:rFonts w:cs="Tahoma"/>
              </w:rPr>
              <w:t>weeks</w:t>
            </w:r>
            <w:proofErr w:type="spellEnd"/>
          </w:p>
        </w:tc>
        <w:tc>
          <w:tcPr>
            <w:tcW w:w="2927" w:type="dxa"/>
          </w:tcPr>
          <w:p w:rsidR="00E35CD2" w:rsidRPr="00177310" w:rsidRDefault="00E35CD2" w:rsidP="00D70F84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4%</w:t>
            </w:r>
          </w:p>
        </w:tc>
      </w:tr>
      <w:tr w:rsidR="00E35CD2" w:rsidRPr="00177310" w:rsidTr="00D70F84">
        <w:tc>
          <w:tcPr>
            <w:tcW w:w="2926" w:type="dxa"/>
            <w:vAlign w:val="center"/>
          </w:tcPr>
          <w:p w:rsidR="00E35CD2" w:rsidRPr="00177310" w:rsidRDefault="00BE6915" w:rsidP="00D70F84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6 </w:t>
            </w:r>
            <w:proofErr w:type="spellStart"/>
            <w:r>
              <w:rPr>
                <w:rFonts w:cs="Tahoma"/>
              </w:rPr>
              <w:t>years</w:t>
            </w:r>
            <w:proofErr w:type="spellEnd"/>
            <w:r>
              <w:rPr>
                <w:rFonts w:cs="Tahoma"/>
              </w:rPr>
              <w:t xml:space="preserve"> and over</w:t>
            </w:r>
          </w:p>
        </w:tc>
        <w:tc>
          <w:tcPr>
            <w:tcW w:w="2927" w:type="dxa"/>
            <w:vAlign w:val="center"/>
          </w:tcPr>
          <w:p w:rsidR="00E35CD2" w:rsidRPr="00177310" w:rsidRDefault="00E35CD2" w:rsidP="00BE6915">
            <w:pPr>
              <w:pStyle w:val="Bullet3"/>
              <w:spacing w:before="12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 xml:space="preserve">3 </w:t>
            </w:r>
            <w:proofErr w:type="spellStart"/>
            <w:r w:rsidR="00BE6915">
              <w:rPr>
                <w:rFonts w:cs="Tahoma"/>
              </w:rPr>
              <w:t>weeks</w:t>
            </w:r>
            <w:proofErr w:type="spellEnd"/>
          </w:p>
        </w:tc>
        <w:tc>
          <w:tcPr>
            <w:tcW w:w="2927" w:type="dxa"/>
          </w:tcPr>
          <w:p w:rsidR="00E35CD2" w:rsidRPr="00177310" w:rsidRDefault="00E35CD2" w:rsidP="00D70F84">
            <w:pPr>
              <w:pStyle w:val="Bullet3"/>
              <w:spacing w:before="120"/>
              <w:ind w:left="110"/>
              <w:jc w:val="center"/>
              <w:rPr>
                <w:rFonts w:cs="Tahoma"/>
              </w:rPr>
            </w:pPr>
            <w:r w:rsidRPr="00177310">
              <w:rPr>
                <w:rFonts w:cs="Tahoma"/>
              </w:rPr>
              <w:t>6%</w:t>
            </w:r>
          </w:p>
        </w:tc>
      </w:tr>
    </w:tbl>
    <w:p w:rsidR="00E35CD2" w:rsidRPr="00177310" w:rsidRDefault="00E35CD2" w:rsidP="00E35CD2">
      <w:pPr>
        <w:pStyle w:val="Corpsdetexte3"/>
        <w:spacing w:after="0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E35CD2" w:rsidRPr="00177310" w:rsidRDefault="00BE6915" w:rsidP="00E35CD2">
      <w:pPr>
        <w:jc w:val="both"/>
        <w:rPr>
          <w:rFonts w:cs="Tahoma"/>
          <w:b/>
        </w:rPr>
      </w:pPr>
      <w:proofErr w:type="spellStart"/>
      <w:r>
        <w:rPr>
          <w:rFonts w:cs="Tahoma"/>
          <w:b/>
        </w:rPr>
        <w:t>Reference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year</w:t>
      </w:r>
      <w:proofErr w:type="spellEnd"/>
    </w:p>
    <w:p w:rsidR="00BE6915" w:rsidRPr="00BE6915" w:rsidRDefault="00BE6915" w:rsidP="00E35CD2">
      <w:pPr>
        <w:jc w:val="both"/>
        <w:rPr>
          <w:rFonts w:cs="Tahoma"/>
          <w:lang w:val="en-CA"/>
        </w:rPr>
      </w:pPr>
      <w:r w:rsidRPr="00BE6915">
        <w:rPr>
          <w:rFonts w:cs="Tahoma"/>
          <w:lang w:val="en-CA"/>
        </w:rPr>
        <w:t xml:space="preserve">The reference year use for the calculation is from January 1st to December 31st. </w:t>
      </w:r>
    </w:p>
    <w:p w:rsidR="00BE6915" w:rsidRPr="00BE6915" w:rsidRDefault="00BE6915" w:rsidP="00E35CD2">
      <w:pPr>
        <w:jc w:val="both"/>
        <w:rPr>
          <w:rFonts w:cs="Tahoma"/>
          <w:b/>
          <w:lang w:val="en-CA"/>
        </w:rPr>
      </w:pPr>
      <w:r w:rsidRPr="00BE6915">
        <w:rPr>
          <w:rFonts w:cs="Tahoma"/>
          <w:b/>
          <w:lang w:val="en-CA"/>
        </w:rPr>
        <w:t>Leaving on vacation</w:t>
      </w:r>
    </w:p>
    <w:p w:rsidR="008B0982" w:rsidRDefault="00BE6915" w:rsidP="00E35CD2">
      <w:pPr>
        <w:jc w:val="both"/>
        <w:rPr>
          <w:rFonts w:cs="Tahoma"/>
        </w:rPr>
      </w:pPr>
      <w:r w:rsidRPr="00BE6915">
        <w:rPr>
          <w:rFonts w:cs="Tahoma"/>
          <w:lang w:val="en-CA"/>
        </w:rPr>
        <w:t xml:space="preserve">It is mandatory that you take your vacation time in the year that follows the one where you </w:t>
      </w:r>
      <w:r>
        <w:rPr>
          <w:rFonts w:cs="Tahoma"/>
          <w:lang w:val="en-CA"/>
        </w:rPr>
        <w:t>accrue</w:t>
      </w:r>
      <w:r w:rsidRPr="00BE6915">
        <w:rPr>
          <w:rFonts w:cs="Tahoma"/>
          <w:lang w:val="en-CA"/>
        </w:rPr>
        <w:t>d</w:t>
      </w:r>
      <w:r>
        <w:rPr>
          <w:rFonts w:cs="Tahoma"/>
          <w:lang w:val="en-CA"/>
        </w:rPr>
        <w:t xml:space="preserve"> </w:t>
      </w:r>
      <w:r w:rsidRPr="00BE6915">
        <w:rPr>
          <w:rFonts w:cs="Tahoma"/>
          <w:lang w:val="en-CA"/>
        </w:rPr>
        <w:t xml:space="preserve">it. </w:t>
      </w:r>
      <w:r w:rsidRPr="00BE6915">
        <w:rPr>
          <w:rFonts w:cs="Tahoma"/>
        </w:rPr>
        <w:t xml:space="preserve">The </w:t>
      </w:r>
      <w:proofErr w:type="spellStart"/>
      <w:r w:rsidRPr="00BE6915">
        <w:rPr>
          <w:rFonts w:cs="Tahoma"/>
        </w:rPr>
        <w:t>company</w:t>
      </w:r>
      <w:proofErr w:type="spellEnd"/>
      <w:r w:rsidRPr="00BE6915">
        <w:rPr>
          <w:rFonts w:cs="Tahoma"/>
        </w:rPr>
        <w:t xml:space="preserve"> </w:t>
      </w:r>
      <w:proofErr w:type="spellStart"/>
      <w:r w:rsidRPr="00BE6915">
        <w:rPr>
          <w:rFonts w:cs="Tahoma"/>
        </w:rPr>
        <w:t>does</w:t>
      </w:r>
      <w:proofErr w:type="spellEnd"/>
      <w:r w:rsidRPr="00BE6915">
        <w:rPr>
          <w:rFonts w:cs="Tahoma"/>
        </w:rPr>
        <w:t xml:space="preserve"> not </w:t>
      </w:r>
      <w:proofErr w:type="spellStart"/>
      <w:r w:rsidRPr="00BE6915">
        <w:rPr>
          <w:rFonts w:cs="Tahoma"/>
        </w:rPr>
        <w:t>allow</w:t>
      </w:r>
      <w:proofErr w:type="spellEnd"/>
      <w:r w:rsidRPr="00BE6915">
        <w:rPr>
          <w:rFonts w:cs="Tahoma"/>
        </w:rPr>
        <w:t xml:space="preserve"> </w:t>
      </w:r>
      <w:proofErr w:type="spellStart"/>
      <w:r w:rsidRPr="00BE6915">
        <w:rPr>
          <w:rFonts w:cs="Tahoma"/>
        </w:rPr>
        <w:t>anticipated</w:t>
      </w:r>
      <w:proofErr w:type="spellEnd"/>
      <w:r w:rsidRPr="00BE6915">
        <w:rPr>
          <w:rFonts w:cs="Tahoma"/>
        </w:rPr>
        <w:t xml:space="preserve"> or </w:t>
      </w:r>
      <w:proofErr w:type="spellStart"/>
      <w:r w:rsidRPr="00BE6915">
        <w:rPr>
          <w:rFonts w:cs="Tahoma"/>
        </w:rPr>
        <w:t>delayed</w:t>
      </w:r>
      <w:proofErr w:type="spellEnd"/>
      <w:r w:rsidRPr="00BE6915">
        <w:rPr>
          <w:rFonts w:cs="Tahoma"/>
        </w:rPr>
        <w:t xml:space="preserve"> vacation</w:t>
      </w:r>
      <w:r w:rsidR="00E35CD2" w:rsidRPr="00177310">
        <w:rPr>
          <w:rFonts w:cs="Tahoma"/>
        </w:rPr>
        <w:t xml:space="preserve">. </w:t>
      </w:r>
      <w:r w:rsidR="00E35CD2" w:rsidRPr="00177310">
        <w:rPr>
          <w:rFonts w:cs="Tahoma"/>
          <w:color w:val="548DD4" w:themeColor="text2" w:themeTint="99"/>
        </w:rPr>
        <w:t>(Vous auriez le droit d’accepter qu’un employé reporte ses vacances à l’année suivante, mais ce n’est pas une obligation)</w:t>
      </w:r>
      <w:r w:rsidR="008B0982">
        <w:rPr>
          <w:rFonts w:cs="Tahoma"/>
        </w:rPr>
        <w:t>.</w:t>
      </w:r>
    </w:p>
    <w:p w:rsidR="00E35CD2" w:rsidRPr="00243E77" w:rsidRDefault="00243E77" w:rsidP="00E35CD2">
      <w:pPr>
        <w:jc w:val="both"/>
        <w:rPr>
          <w:rFonts w:cs="Tahoma"/>
          <w:color w:val="FF0000"/>
          <w:lang w:val="en-CA"/>
        </w:rPr>
      </w:pPr>
      <w:r w:rsidRPr="00243E77">
        <w:rPr>
          <w:rFonts w:cs="Tahoma"/>
          <w:color w:val="FF0000"/>
          <w:lang w:val="en-CA"/>
        </w:rPr>
        <w:t xml:space="preserve">You must take your vacation. </w:t>
      </w:r>
      <w:r>
        <w:rPr>
          <w:rFonts w:cs="Tahoma"/>
          <w:color w:val="FF0000"/>
          <w:lang w:val="en-CA"/>
        </w:rPr>
        <w:t>It will not be possible to receive your vacation pay while staying at work.</w:t>
      </w:r>
    </w:p>
    <w:p w:rsidR="00E35CD2" w:rsidRPr="0056798D" w:rsidRDefault="00243E77" w:rsidP="00E35CD2">
      <w:pPr>
        <w:jc w:val="both"/>
        <w:rPr>
          <w:rFonts w:cs="Tahoma"/>
          <w:b/>
          <w:lang w:val="en-CA"/>
        </w:rPr>
      </w:pPr>
      <w:r w:rsidRPr="0056798D">
        <w:rPr>
          <w:rFonts w:cs="Tahoma"/>
          <w:b/>
          <w:lang w:val="en-CA"/>
        </w:rPr>
        <w:t xml:space="preserve">Vacation </w:t>
      </w:r>
      <w:r w:rsidR="008B0982" w:rsidRPr="0056798D">
        <w:rPr>
          <w:rFonts w:cs="Tahoma"/>
          <w:b/>
          <w:lang w:val="en-CA"/>
        </w:rPr>
        <w:t>R</w:t>
      </w:r>
      <w:r w:rsidRPr="0056798D">
        <w:rPr>
          <w:rFonts w:cs="Tahoma"/>
          <w:b/>
          <w:lang w:val="en-CA"/>
        </w:rPr>
        <w:t>equest</w:t>
      </w:r>
    </w:p>
    <w:p w:rsidR="0085446E" w:rsidRDefault="008858AD" w:rsidP="00E35CD2">
      <w:pPr>
        <w:jc w:val="both"/>
        <w:rPr>
          <w:rFonts w:cs="Tahoma"/>
          <w:lang w:val="en-CA"/>
        </w:rPr>
      </w:pPr>
      <w:r w:rsidRPr="0085446E">
        <w:rPr>
          <w:rFonts w:cs="Tahoma"/>
          <w:lang w:val="en-CA"/>
        </w:rPr>
        <w:t xml:space="preserve">If </w:t>
      </w:r>
      <w:r w:rsidR="0085446E" w:rsidRPr="0085446E">
        <w:rPr>
          <w:rFonts w:cs="Tahoma"/>
          <w:lang w:val="en-CA"/>
        </w:rPr>
        <w:t>an employee wishes</w:t>
      </w:r>
      <w:r w:rsidRPr="0085446E">
        <w:rPr>
          <w:rFonts w:cs="Tahoma"/>
          <w:lang w:val="en-CA"/>
        </w:rPr>
        <w:t xml:space="preserve"> to leave on vacation, </w:t>
      </w:r>
      <w:r w:rsidR="0085446E" w:rsidRPr="0085446E">
        <w:rPr>
          <w:rFonts w:cs="Tahoma"/>
          <w:lang w:val="en-CA"/>
        </w:rPr>
        <w:t>he or she must send a written</w:t>
      </w:r>
      <w:r w:rsidR="0085446E">
        <w:rPr>
          <w:rFonts w:cs="Tahoma"/>
          <w:lang w:val="en-CA"/>
        </w:rPr>
        <w:t xml:space="preserve"> request to his or her</w:t>
      </w:r>
      <w:r w:rsidR="0085446E" w:rsidRPr="0085446E">
        <w:rPr>
          <w:rFonts w:cs="Tahoma"/>
          <w:lang w:val="en-CA"/>
        </w:rPr>
        <w:t xml:space="preserve"> supervisor at </w:t>
      </w:r>
      <w:r w:rsidR="0085446E" w:rsidRPr="0085446E">
        <w:rPr>
          <w:rFonts w:cs="Tahoma"/>
          <w:highlight w:val="yellow"/>
          <w:lang w:val="en-CA"/>
        </w:rPr>
        <w:t>least X weeks</w:t>
      </w:r>
      <w:r w:rsidR="0085446E" w:rsidRPr="0085446E">
        <w:rPr>
          <w:rFonts w:cs="Tahoma"/>
          <w:lang w:val="en-CA"/>
        </w:rPr>
        <w:t xml:space="preserve"> in advance. </w:t>
      </w:r>
      <w:r w:rsidR="0085446E">
        <w:rPr>
          <w:rFonts w:cs="Tahoma"/>
          <w:lang w:val="en-CA"/>
        </w:rPr>
        <w:t>We will try our best to accommodate the preferences of everyone, but the calendar will be established by taking into account the business needs. Sen</w:t>
      </w:r>
      <w:r w:rsidR="008B0982">
        <w:rPr>
          <w:rFonts w:cs="Tahoma"/>
          <w:lang w:val="en-CA"/>
        </w:rPr>
        <w:t>io</w:t>
      </w:r>
      <w:r w:rsidR="0085446E">
        <w:rPr>
          <w:rFonts w:cs="Tahoma"/>
          <w:lang w:val="en-CA"/>
        </w:rPr>
        <w:t xml:space="preserve">rity will prevail when possible. </w:t>
      </w:r>
    </w:p>
    <w:p w:rsidR="0085446E" w:rsidRPr="0085446E" w:rsidRDefault="0085446E" w:rsidP="00E35CD2">
      <w:pPr>
        <w:jc w:val="both"/>
        <w:rPr>
          <w:rFonts w:cs="Tahoma"/>
          <w:lang w:val="en-CA"/>
        </w:rPr>
      </w:pPr>
      <w:r w:rsidRPr="0085446E">
        <w:rPr>
          <w:rFonts w:cs="Tahoma"/>
          <w:lang w:val="en-CA"/>
        </w:rPr>
        <w:t xml:space="preserve">We reserve the right to set the vacation date </w:t>
      </w:r>
      <w:r>
        <w:rPr>
          <w:rFonts w:cs="Tahoma"/>
          <w:lang w:val="en-CA"/>
        </w:rPr>
        <w:t xml:space="preserve">if no vacation request has been received by </w:t>
      </w:r>
      <w:r w:rsidRPr="0085446E">
        <w:rPr>
          <w:rFonts w:cs="Tahoma"/>
          <w:highlight w:val="yellow"/>
          <w:lang w:val="en-CA"/>
        </w:rPr>
        <w:t>Date</w:t>
      </w:r>
      <w:r>
        <w:rPr>
          <w:rFonts w:cs="Tahoma"/>
          <w:lang w:val="en-CA"/>
        </w:rPr>
        <w:t xml:space="preserve">. Should this situation occur, you will be notified at least </w:t>
      </w:r>
      <w:r w:rsidRPr="0085446E">
        <w:rPr>
          <w:rFonts w:cs="Tahoma"/>
          <w:highlight w:val="yellow"/>
          <w:lang w:val="en-CA"/>
        </w:rPr>
        <w:t>two (2) weeks</w:t>
      </w:r>
      <w:r>
        <w:rPr>
          <w:rFonts w:cs="Tahoma"/>
          <w:lang w:val="en-CA"/>
        </w:rPr>
        <w:t xml:space="preserve"> in advance. </w:t>
      </w:r>
      <w:r w:rsidR="0056798D" w:rsidRPr="00524F95">
        <w:rPr>
          <w:rFonts w:cs="Tahoma"/>
          <w:color w:val="548DD4" w:themeColor="text2" w:themeTint="99"/>
          <w:lang w:val="en-CA"/>
        </w:rPr>
        <w:t>(</w:t>
      </w:r>
      <w:proofErr w:type="spellStart"/>
      <w:r w:rsidR="0056798D" w:rsidRPr="00524F95">
        <w:rPr>
          <w:rFonts w:cs="Tahoma"/>
          <w:color w:val="548DD4" w:themeColor="text2" w:themeTint="99"/>
          <w:lang w:val="en-CA"/>
        </w:rPr>
        <w:t>C’est</w:t>
      </w:r>
      <w:proofErr w:type="spellEnd"/>
      <w:r w:rsidR="0056798D" w:rsidRPr="00524F95">
        <w:rPr>
          <w:rFonts w:cs="Tahoma"/>
          <w:color w:val="548DD4" w:themeColor="text2" w:themeTint="99"/>
          <w:lang w:val="en-CA"/>
        </w:rPr>
        <w:t xml:space="preserve"> le minimum </w:t>
      </w:r>
      <w:proofErr w:type="spellStart"/>
      <w:r w:rsidR="0056798D" w:rsidRPr="00524F95">
        <w:rPr>
          <w:rFonts w:cs="Tahoma"/>
          <w:color w:val="548DD4" w:themeColor="text2" w:themeTint="99"/>
          <w:lang w:val="en-CA"/>
        </w:rPr>
        <w:t>selon</w:t>
      </w:r>
      <w:proofErr w:type="spellEnd"/>
      <w:r w:rsidR="0056798D" w:rsidRPr="00524F95">
        <w:rPr>
          <w:rFonts w:cs="Tahoma"/>
          <w:color w:val="548DD4" w:themeColor="text2" w:themeTint="99"/>
          <w:lang w:val="en-CA"/>
        </w:rPr>
        <w:t xml:space="preserve"> le code du travail)</w:t>
      </w:r>
    </w:p>
    <w:p w:rsidR="00E35CD2" w:rsidRPr="0085446E" w:rsidRDefault="0085446E" w:rsidP="00E35CD2">
      <w:pPr>
        <w:jc w:val="both"/>
        <w:rPr>
          <w:rFonts w:cs="Tahoma"/>
          <w:lang w:val="en-CA"/>
        </w:rPr>
      </w:pPr>
      <w:r w:rsidRPr="0085446E">
        <w:rPr>
          <w:rFonts w:cs="Tahoma"/>
          <w:lang w:val="en-CA"/>
        </w:rPr>
        <w:t>Thank you for your co</w:t>
      </w:r>
      <w:r w:rsidR="008B0982">
        <w:rPr>
          <w:rFonts w:cs="Tahoma"/>
          <w:lang w:val="en-CA"/>
        </w:rPr>
        <w:t>-o</w:t>
      </w:r>
      <w:r w:rsidRPr="0085446E">
        <w:rPr>
          <w:rFonts w:cs="Tahoma"/>
          <w:lang w:val="en-CA"/>
        </w:rPr>
        <w:t>peration</w:t>
      </w:r>
      <w:r w:rsidR="00E35CD2" w:rsidRPr="0085446E">
        <w:rPr>
          <w:rFonts w:cs="Tahoma"/>
          <w:lang w:val="en-CA"/>
        </w:rPr>
        <w:t>,</w:t>
      </w:r>
    </w:p>
    <w:p w:rsidR="00E35CD2" w:rsidRPr="00524F95" w:rsidRDefault="0085446E" w:rsidP="00E35CD2">
      <w:pPr>
        <w:jc w:val="both"/>
        <w:rPr>
          <w:rFonts w:cs="Tahoma"/>
          <w:lang w:val="en-CA"/>
        </w:rPr>
      </w:pPr>
      <w:r w:rsidRPr="00524F95">
        <w:rPr>
          <w:rFonts w:cs="Tahoma"/>
          <w:lang w:val="en-CA"/>
        </w:rPr>
        <w:t>Name, title and signature</w:t>
      </w:r>
    </w:p>
    <w:sectPr w:rsidR="00E35CD2" w:rsidRPr="00524F95" w:rsidSect="00616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3D" w:rsidRDefault="00DB2F3D" w:rsidP="0085446E">
      <w:pPr>
        <w:spacing w:after="0" w:line="240" w:lineRule="auto"/>
      </w:pPr>
      <w:r>
        <w:separator/>
      </w:r>
    </w:p>
  </w:endnote>
  <w:endnote w:type="continuationSeparator" w:id="0">
    <w:p w:rsidR="00DB2F3D" w:rsidRDefault="00DB2F3D" w:rsidP="0085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0" w:rsidRDefault="00F27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0" w:rsidRDefault="00F272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0" w:rsidRDefault="00F27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3D" w:rsidRDefault="00DB2F3D" w:rsidP="0085446E">
      <w:pPr>
        <w:spacing w:after="0" w:line="240" w:lineRule="auto"/>
      </w:pPr>
      <w:r>
        <w:separator/>
      </w:r>
    </w:p>
  </w:footnote>
  <w:footnote w:type="continuationSeparator" w:id="0">
    <w:p w:rsidR="00DB2F3D" w:rsidRDefault="00DB2F3D" w:rsidP="0085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0" w:rsidRDefault="00F272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0" w:rsidRDefault="00F272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0" w:rsidRDefault="00F272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9C5"/>
    <w:rsid w:val="00045E3E"/>
    <w:rsid w:val="00157376"/>
    <w:rsid w:val="0017144C"/>
    <w:rsid w:val="00177310"/>
    <w:rsid w:val="00223BEB"/>
    <w:rsid w:val="00243E77"/>
    <w:rsid w:val="002F35BA"/>
    <w:rsid w:val="00311533"/>
    <w:rsid w:val="00440646"/>
    <w:rsid w:val="00494C7F"/>
    <w:rsid w:val="00524F95"/>
    <w:rsid w:val="0056798D"/>
    <w:rsid w:val="006167D4"/>
    <w:rsid w:val="00732268"/>
    <w:rsid w:val="00791636"/>
    <w:rsid w:val="008028E3"/>
    <w:rsid w:val="0083642C"/>
    <w:rsid w:val="0085446E"/>
    <w:rsid w:val="008858AD"/>
    <w:rsid w:val="008B0982"/>
    <w:rsid w:val="00950FC1"/>
    <w:rsid w:val="009D59C5"/>
    <w:rsid w:val="00A73194"/>
    <w:rsid w:val="00AD2962"/>
    <w:rsid w:val="00BE6915"/>
    <w:rsid w:val="00D30C87"/>
    <w:rsid w:val="00D6527E"/>
    <w:rsid w:val="00D70F84"/>
    <w:rsid w:val="00DB2F3D"/>
    <w:rsid w:val="00DF5F20"/>
    <w:rsid w:val="00E35CD2"/>
    <w:rsid w:val="00F27240"/>
    <w:rsid w:val="00F4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4"/>
  </w:style>
  <w:style w:type="paragraph" w:styleId="Heading1">
    <w:name w:val="heading 1"/>
    <w:basedOn w:val="Normal"/>
    <w:next w:val="Normal"/>
    <w:link w:val="Heading1Char"/>
    <w:qFormat/>
    <w:rsid w:val="009D59C5"/>
    <w:pPr>
      <w:keepNext/>
      <w:tabs>
        <w:tab w:val="left" w:pos="540"/>
      </w:tabs>
      <w:snapToGrid w:val="0"/>
      <w:spacing w:before="480" w:after="240" w:line="240" w:lineRule="auto"/>
      <w:outlineLvl w:val="0"/>
    </w:pPr>
    <w:rPr>
      <w:rFonts w:ascii="Arial" w:eastAsia="Arial Unicode MS" w:hAnsi="Arial" w:cs="Times New Roman"/>
      <w:b/>
      <w:smallCaps/>
      <w:kern w:val="28"/>
      <w:sz w:val="24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9D59C5"/>
    <w:pPr>
      <w:keepNext/>
      <w:tabs>
        <w:tab w:val="left" w:pos="1260"/>
        <w:tab w:val="left" w:pos="1530"/>
      </w:tabs>
      <w:snapToGrid w:val="0"/>
      <w:spacing w:before="240" w:after="240" w:line="240" w:lineRule="auto"/>
      <w:ind w:left="547"/>
      <w:outlineLvl w:val="1"/>
    </w:pPr>
    <w:rPr>
      <w:rFonts w:ascii="Arial" w:eastAsia="Arial Unicode MS" w:hAnsi="Arial" w:cs="Times New Roman"/>
      <w:b/>
      <w:smallCaps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C5"/>
    <w:rPr>
      <w:rFonts w:ascii="Arial" w:eastAsia="Arial Unicode MS" w:hAnsi="Arial" w:cs="Times New Roman"/>
      <w:b/>
      <w:smallCaps/>
      <w:kern w:val="28"/>
      <w:sz w:val="24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9D59C5"/>
    <w:rPr>
      <w:rFonts w:ascii="Arial" w:eastAsia="Arial Unicode MS" w:hAnsi="Arial" w:cs="Times New Roman"/>
      <w:b/>
      <w:smallCaps/>
      <w:sz w:val="24"/>
      <w:szCs w:val="20"/>
      <w:lang w:eastAsia="fr-FR"/>
    </w:rPr>
  </w:style>
  <w:style w:type="paragraph" w:customStyle="1" w:styleId="Corpsdetexte3">
    <w:name w:val="Corps de texte 3*"/>
    <w:basedOn w:val="BodyText2"/>
    <w:rsid w:val="009D59C5"/>
    <w:pPr>
      <w:spacing w:after="24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ullet3">
    <w:name w:val="Bullet 3"/>
    <w:basedOn w:val="Normal"/>
    <w:rsid w:val="009D59C5"/>
  </w:style>
  <w:style w:type="paragraph" w:customStyle="1" w:styleId="Corpsdetexte4">
    <w:name w:val="Corps de texte 4"/>
    <w:basedOn w:val="Corpsdetexte3"/>
    <w:rsid w:val="009D59C5"/>
    <w:pPr>
      <w:ind w:left="32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59C5"/>
  </w:style>
  <w:style w:type="table" w:styleId="TableGrid">
    <w:name w:val="Table Grid"/>
    <w:basedOn w:val="TableNormal"/>
    <w:uiPriority w:val="59"/>
    <w:rsid w:val="0017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46E"/>
  </w:style>
  <w:style w:type="paragraph" w:styleId="Footer">
    <w:name w:val="footer"/>
    <w:basedOn w:val="Normal"/>
    <w:link w:val="FooterChar"/>
    <w:uiPriority w:val="99"/>
    <w:semiHidden/>
    <w:unhideWhenUsed/>
    <w:rsid w:val="0085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Coverage xmlns="bceb6b8e-3aee-4df7-aaa3-5d785d689701" xsi:nil="true"/>
    <Language xmlns="http://schemas.microsoft.com/sharepoint/v3">French</Language>
    <Cat_x00e9_gorie_x002d_FR xmlns="cf7d8721-728f-450a-b3c5-962815df6e41">Modèle</Cat_x00e9_gorie_x002d_FR>
    <Enjeux xmlns="cf7d8721-728f-450a-b3c5-962815df6e41">Gestion et politiques internes d'emploi</Enjeu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12E75C932E747AD1BCB08211DB97E" ma:contentTypeVersion="10" ma:contentTypeDescription="Create a new document." ma:contentTypeScope="" ma:versionID="f763a71b3b356fe380ab4854d67f6852">
  <xsd:schema xmlns:xsd="http://www.w3.org/2001/XMLSchema" xmlns:p="http://schemas.microsoft.com/office/2006/metadata/properties" xmlns:ns1="http://schemas.microsoft.com/sharepoint/v3" xmlns:ns2="cf7d8721-728f-450a-b3c5-962815df6e41" xmlns:ns3="bceb6b8e-3aee-4df7-aaa3-5d785d689701" targetNamespace="http://schemas.microsoft.com/office/2006/metadata/properties" ma:root="true" ma:fieldsID="96ebc75c469a8c1c25c5cd3fedf7110b" ns1:_="" ns2:_="" ns3:_="">
    <xsd:import namespace="http://schemas.microsoft.com/sharepoint/v3"/>
    <xsd:import namespace="cf7d8721-728f-450a-b3c5-962815df6e41"/>
    <xsd:import namespace="bceb6b8e-3aee-4df7-aaa3-5d785d689701"/>
    <xsd:element name="properties">
      <xsd:complexType>
        <xsd:sequence>
          <xsd:element name="documentManagement">
            <xsd:complexType>
              <xsd:all>
                <xsd:element ref="ns2:Enjeux" minOccurs="0"/>
                <xsd:element ref="ns2:Cat_x00e9_gorie_x002d_FR" minOccurs="0"/>
                <xsd:element ref="ns3:_Coverage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1" nillable="true" ma:displayName="Language" ma:default="Frenc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</xsd:schema>
  <xsd:schema xmlns:xsd="http://www.w3.org/2001/XMLSchema" xmlns:dms="http://schemas.microsoft.com/office/2006/documentManagement/types" targetNamespace="cf7d8721-728f-450a-b3c5-962815df6e41" elementFormDefault="qualified">
    <xsd:import namespace="http://schemas.microsoft.com/office/2006/documentManagement/types"/>
    <xsd:element name="Enjeux" ma:index="2" nillable="true" ma:displayName="Enjeux" ma:description="Utilisez pour les documents français" ma:format="Dropdown" ma:internalName="Enjeux">
      <xsd:simpleType>
        <xsd:restriction base="dms:Choice">
          <xsd:enumeration value="Agriculture"/>
          <xsd:enumeration value="Appels de décision concernant l'impôt et les taxes"/>
          <xsd:enumeration value="Apprentissage/métiers"/>
          <xsd:enumeration value="Assurance"/>
          <xsd:enumeration value="Budgets gouvernementaux"/>
          <xsd:enumeration value="Commerce"/>
          <xsd:enumeration value="Commerce interentreprises"/>
          <xsd:enumeration value="Concurrence"/>
          <xsd:enumeration value="Conformité"/>
          <xsd:enumeration value="Crime et fraude"/>
          <xsd:enumeration value="Croissance d'entreprise"/>
          <xsd:enumeration value="Divers – fédéral"/>
          <xsd:enumeration value="Divers – provincial"/>
          <xsd:enumeration value="Droits humains"/>
          <xsd:enumeration value="Élections"/>
          <xsd:enumeration value="Environnement"/>
          <xsd:enumeration value="Évaluation et impôt foncier"/>
          <xsd:enumeration value="FCEI"/>
          <xsd:enumeration value="Finances"/>
          <xsd:enumeration value="Formes d'entreprise"/>
          <xsd:enumeration value="Gestion et politiques internes d'emploi"/>
          <xsd:enumeration value="Gestion et politiques internes d'emploi - mesures disciplinaires"/>
          <xsd:enumeration value="Immigration"/>
          <xsd:enumeration value="Impôt sur les gains en capital"/>
          <xsd:enumeration value="Indemnisation des travailleurs"/>
          <xsd:enumeration value="Indemnisation des travailleurs – santé et sécurité"/>
          <xsd:enumeration value="Législation du travail"/>
          <xsd:enumeration value="Lois sur la protection sur la vie privée"/>
          <xsd:enumeration value="Mesures de recouvrement des taxes et de l'impôt"/>
          <xsd:enumeration value="Normes du travail"/>
          <xsd:enumeration value="Organisations mandatées par le gouvernement"/>
          <xsd:enumeration value="Paiements"/>
          <xsd:enumeration value="Pensions/rentes"/>
          <xsd:enumeration value="Pénuries de main-d'oeuve"/>
          <xsd:enumeration value="planification des mesures d'urgence en cas de catastrophe"/>
          <xsd:enumeration value="Programme d'assurance-emploi"/>
          <xsd:enumeration value="Programme du régime de pensions du Canada"/>
          <xsd:enumeration value="Programmes Privilège"/>
          <xsd:enumeration value="Protection du consommateur"/>
          <xsd:enumeration value="Question spécifique au secteur"/>
          <xsd:enumeration value="Références"/>
          <xsd:enumeration value="Relations avec le gouvernement"/>
          <xsd:enumeration value="Relève"/>
          <xsd:enumeration value="Services bancaires"/>
          <xsd:enumeration value="Services publics"/>
          <xsd:enumeration value="Syndicats"/>
          <xsd:enumeration value="Taxes de vente (TPS/TVH/TVP)"/>
          <xsd:enumeration value="Taxes et impôts"/>
          <xsd:enumeration value="Taxes sur la masse salariale (AE et RPC/RRQ)"/>
          <xsd:enumeration value="Transports"/>
          <xsd:enumeration value="Vérification fiscale"/>
        </xsd:restriction>
      </xsd:simpleType>
    </xsd:element>
    <xsd:element name="Cat_x00e9_gorie_x002d_FR" ma:index="3" nillable="true" ma:displayName="Catégorie" ma:description="Utilisez pour les documents français" ma:format="Dropdown" ma:internalName="Cat_x00e9_gorie_x002d_FR">
      <xsd:simpleType>
        <xsd:restriction base="dms:Choice">
          <xsd:enumeration value="Action RAE"/>
          <xsd:enumeration value="Action legislative"/>
          <xsd:enumeration value="Archive"/>
          <xsd:enumeration value="Courriel collectif"/>
          <xsd:enumeration value="Encart"/>
          <xsd:enumeration value="Modèle"/>
          <xsd:enumeration value="Modèle de courriel"/>
          <xsd:enumeration value="Référence"/>
        </xsd:restriction>
      </xsd:simpleType>
    </xsd:element>
  </xsd:schema>
  <xsd:schema xmlns:xsd="http://www.w3.org/2001/XMLSchema" xmlns:dms="http://schemas.microsoft.com/office/2006/documentManagement/types" targetNamespace="bceb6b8e-3aee-4df7-aaa3-5d785d689701" elementFormDefault="qualified">
    <xsd:import namespace="http://schemas.microsoft.com/office/2006/documentManagement/types"/>
    <xsd:element name="_Coverage" ma:index="4" nillable="true" ma:displayName="Coverage" ma:description="Jurisdiction where the item is relevant or applies. For coverage, select a province or use NAT (for organization-wide or Federal)" ma:format="Dropdown" ma:internalName="_Coverage">
      <xsd:simpleType>
        <xsd:restriction base="dms:Choice">
          <xsd:enumeration value="AB"/>
          <xsd:enumeration value="ATL"/>
          <xsd:enumeration value="BC"/>
          <xsd:enumeration value="SK"/>
          <xsd:enumeration value="MB"/>
          <xsd:enumeration value="NAT"/>
          <xsd:enumeration value="NB"/>
          <xsd:enumeration value="NL"/>
          <xsd:enumeration value="NS"/>
          <xsd:enumeration value="NT"/>
          <xsd:enumeration value="ON"/>
          <xsd:enumeration value="PE"/>
          <xsd:enumeration value="QC"/>
          <xsd:enumeration value="SK"/>
          <xsd:enumeration value="WES"/>
          <xsd:enumeration value="Y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7248E0-3879-46D0-BBC9-CE61B3300B46}">
  <ds:schemaRefs>
    <ds:schemaRef ds:uri="http://schemas.microsoft.com/office/2006/metadata/properties"/>
    <ds:schemaRef ds:uri="bceb6b8e-3aee-4df7-aaa3-5d785d689701"/>
    <ds:schemaRef ds:uri="http://schemas.microsoft.com/sharepoint/v3"/>
    <ds:schemaRef ds:uri="cf7d8721-728f-450a-b3c5-962815df6e41"/>
  </ds:schemaRefs>
</ds:datastoreItem>
</file>

<file path=customXml/itemProps2.xml><?xml version="1.0" encoding="utf-8"?>
<ds:datastoreItem xmlns:ds="http://schemas.openxmlformats.org/officeDocument/2006/customXml" ds:itemID="{DD9969B0-AAA0-4C17-B9B0-87B547D33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1CC21-BFA9-4DBF-85DE-BD3520F0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7d8721-728f-450a-b3c5-962815df6e41"/>
    <ds:schemaRef ds:uri="bceb6b8e-3aee-4df7-aaa3-5d785d6897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</dc:creator>
  <cp:lastModifiedBy>Emma Speagell</cp:lastModifiedBy>
  <cp:revision>3</cp:revision>
  <dcterms:created xsi:type="dcterms:W3CDTF">2019-01-25T17:29:00Z</dcterms:created>
  <dcterms:modified xsi:type="dcterms:W3CDTF">2019-01-25T17:33:00Z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37400</vt:r8>
  </property>
  <property fmtid="{D5CDD505-2E9C-101B-9397-08002B2CF9AE}" pid="3" name="ContentTypeId">
    <vt:lpwstr>0x01010031B12E75C932E747AD1BCB08211DB97E</vt:lpwstr>
  </property>
</Properties>
</file>